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ind w:firstLine="0" w:firstLineChars="0"/>
        <w:rPr>
          <w:rFonts w:cs="宋体" w:asciiTheme="minorEastAsia" w:hAnsiTheme="minorEastAsia" w:eastAsiaTheme="minorEastAsia"/>
          <w:b/>
          <w:bCs/>
          <w:kern w:val="0"/>
          <w:sz w:val="32"/>
          <w:szCs w:val="32"/>
        </w:rPr>
      </w:pPr>
      <w:r>
        <w:rPr>
          <w:rFonts w:hint="eastAsia" w:cs="宋体" w:asciiTheme="minorEastAsia" w:hAnsiTheme="minorEastAsia" w:eastAsiaTheme="minorEastAsia"/>
          <w:b/>
          <w:bCs/>
          <w:kern w:val="0"/>
          <w:sz w:val="32"/>
          <w:szCs w:val="32"/>
        </w:rPr>
        <w:t>编号：FSGXHJYA202</w:t>
      </w:r>
      <w:r>
        <w:rPr>
          <w:rFonts w:cs="宋体" w:asciiTheme="minorEastAsia" w:hAnsiTheme="minorEastAsia" w:eastAsiaTheme="minorEastAsia"/>
          <w:b/>
          <w:bCs/>
          <w:kern w:val="0"/>
          <w:sz w:val="32"/>
          <w:szCs w:val="32"/>
        </w:rPr>
        <w:t>2</w:t>
      </w:r>
      <w:r>
        <w:rPr>
          <w:rFonts w:hint="eastAsia" w:cs="宋体" w:asciiTheme="minorEastAsia" w:hAnsiTheme="minorEastAsia" w:eastAsiaTheme="minorEastAsia"/>
          <w:b/>
          <w:bCs/>
          <w:kern w:val="0"/>
          <w:sz w:val="32"/>
          <w:szCs w:val="32"/>
        </w:rPr>
        <w:t>-1</w:t>
      </w:r>
    </w:p>
    <w:p>
      <w:pPr>
        <w:pStyle w:val="32"/>
        <w:spacing w:before="156"/>
        <w:ind w:firstLine="0" w:firstLineChars="0"/>
        <w:rPr>
          <w:rFonts w:cs="宋体" w:asciiTheme="minorEastAsia" w:hAnsiTheme="minorEastAsia" w:eastAsiaTheme="minorEastAsia"/>
          <w:b/>
          <w:bCs/>
          <w:kern w:val="0"/>
          <w:sz w:val="32"/>
          <w:szCs w:val="32"/>
        </w:rPr>
      </w:pPr>
      <w:r>
        <w:rPr>
          <w:rFonts w:hint="eastAsia" w:cs="宋体" w:asciiTheme="minorEastAsia" w:hAnsiTheme="minorEastAsia" w:eastAsiaTheme="minorEastAsia"/>
          <w:b/>
          <w:bCs/>
          <w:kern w:val="0"/>
          <w:sz w:val="32"/>
          <w:szCs w:val="32"/>
        </w:rPr>
        <w:t>版本：第一版</w:t>
      </w:r>
    </w:p>
    <w:p>
      <w:pPr>
        <w:pStyle w:val="33"/>
      </w:pPr>
    </w:p>
    <w:p>
      <w:pPr>
        <w:spacing w:before="156"/>
        <w:ind w:firstLine="640"/>
        <w:rPr>
          <w:sz w:val="32"/>
          <w:szCs w:val="32"/>
        </w:rPr>
      </w:pPr>
    </w:p>
    <w:p>
      <w:pPr>
        <w:spacing w:before="156" w:line="480" w:lineRule="auto"/>
        <w:ind w:firstLine="0" w:firstLineChars="0"/>
        <w:jc w:val="center"/>
        <w:rPr>
          <w:rFonts w:ascii="宋体" w:hAnsi="宋体" w:cs="宋体"/>
          <w:b/>
          <w:color w:val="000000" w:themeColor="text1"/>
          <w:kern w:val="0"/>
          <w:sz w:val="44"/>
          <w:szCs w:val="44"/>
          <w14:textFill>
            <w14:solidFill>
              <w14:schemeClr w14:val="tx1"/>
            </w14:solidFill>
          </w14:textFill>
        </w:rPr>
      </w:pPr>
      <w:r>
        <w:rPr>
          <w:rFonts w:hint="eastAsia" w:ascii="宋体" w:hAnsi="宋体" w:cs="宋体"/>
          <w:b/>
          <w:color w:val="000000" w:themeColor="text1"/>
          <w:kern w:val="0"/>
          <w:sz w:val="44"/>
          <w:szCs w:val="44"/>
          <w14:textFill>
            <w14:solidFill>
              <w14:schemeClr w14:val="tx1"/>
            </w14:solidFill>
          </w14:textFill>
        </w:rPr>
        <w:t>抚顺高新技术产业开发区</w:t>
      </w:r>
    </w:p>
    <w:p>
      <w:pPr>
        <w:spacing w:before="156" w:line="480" w:lineRule="auto"/>
        <w:ind w:firstLine="0" w:firstLineChars="0"/>
        <w:jc w:val="center"/>
        <w:rPr>
          <w:b/>
          <w:color w:val="000000" w:themeColor="text1"/>
          <w:sz w:val="52"/>
          <w:szCs w:val="52"/>
          <w14:textFill>
            <w14:solidFill>
              <w14:schemeClr w14:val="tx1"/>
            </w14:solidFill>
          </w14:textFill>
        </w:rPr>
      </w:pPr>
      <w:r>
        <w:rPr>
          <w:rFonts w:hint="eastAsia" w:ascii="宋体" w:hAnsi="宋体" w:cs="宋体"/>
          <w:b/>
          <w:color w:val="000000" w:themeColor="text1"/>
          <w:kern w:val="0"/>
          <w:sz w:val="44"/>
          <w:szCs w:val="44"/>
          <w14:textFill>
            <w14:solidFill>
              <w14:schemeClr w14:val="tx1"/>
            </w14:solidFill>
          </w14:textFill>
        </w:rPr>
        <w:t>突发环境事件应急预案</w:t>
      </w:r>
    </w:p>
    <w:p>
      <w:pPr>
        <w:spacing w:before="156"/>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643"/>
        <w:jc w:val="center"/>
        <w:rPr>
          <w:rFonts w:ascii="宋体" w:hAnsi="宋体" w:cs="宋体"/>
          <w:b/>
          <w:bCs/>
          <w:color w:val="000000" w:themeColor="text1"/>
          <w:sz w:val="32"/>
          <w:szCs w:val="32"/>
          <w14:textFill>
            <w14:solidFill>
              <w14:schemeClr w14:val="tx1"/>
            </w14:solidFill>
          </w14:textFill>
        </w:rPr>
      </w:pPr>
    </w:p>
    <w:p>
      <w:pPr>
        <w:spacing w:before="156"/>
        <w:ind w:firstLine="643"/>
        <w:jc w:val="center"/>
        <w:rPr>
          <w:rFonts w:ascii="宋体" w:hAnsi="宋体" w:cs="宋体"/>
          <w:b/>
          <w:bCs/>
          <w:color w:val="000000" w:themeColor="text1"/>
          <w:sz w:val="32"/>
          <w:szCs w:val="32"/>
          <w14:textFill>
            <w14:solidFill>
              <w14:schemeClr w14:val="tx1"/>
            </w14:solidFill>
          </w14:textFill>
        </w:rPr>
      </w:pPr>
    </w:p>
    <w:p>
      <w:pPr>
        <w:spacing w:before="156"/>
        <w:ind w:firstLine="0" w:firstLineChars="0"/>
        <w:jc w:val="center"/>
        <w:rPr>
          <w:rFonts w:ascii="宋体" w:hAnsi="宋体" w:cs="宋体"/>
          <w:b/>
          <w:bCs/>
          <w:color w:val="000000" w:themeColor="text1"/>
          <w:sz w:val="32"/>
          <w:szCs w:val="32"/>
          <w14:textFill>
            <w14:solidFill>
              <w14:schemeClr w14:val="tx1"/>
            </w14:solidFill>
          </w14:textFill>
        </w:rPr>
      </w:pPr>
      <w:r>
        <w:rPr>
          <w:b/>
          <w:bCs/>
          <w:color w:val="000000" w:themeColor="text1"/>
          <w:sz w:val="32"/>
          <w:szCs w:val="32"/>
          <w14:textFill>
            <w14:solidFill>
              <w14:schemeClr w14:val="tx1"/>
            </w14:solidFill>
          </w14:textFill>
        </w:rPr>
        <w:t xml:space="preserve"> </w:t>
      </w:r>
      <w:r>
        <w:rPr>
          <w:rFonts w:hint="eastAsia" w:ascii="宋体" w:hAnsi="宋体" w:cs="宋体"/>
          <w:b/>
          <w:bCs/>
          <w:color w:val="000000" w:themeColor="text1"/>
          <w:sz w:val="32"/>
          <w:szCs w:val="32"/>
          <w14:textFill>
            <w14:solidFill>
              <w14:schemeClr w14:val="tx1"/>
            </w14:solidFill>
          </w14:textFill>
        </w:rPr>
        <w:t>抚顺高新技术产业开发区管理委员会</w:t>
      </w:r>
    </w:p>
    <w:p>
      <w:pPr>
        <w:spacing w:before="156"/>
        <w:ind w:firstLine="0" w:firstLineChars="0"/>
        <w:jc w:val="center"/>
        <w:rPr>
          <w:rFonts w:ascii="宋体" w:hAnsi="宋体" w:cs="宋体"/>
          <w:b/>
          <w:bCs/>
          <w:color w:val="000000" w:themeColor="text1"/>
          <w:sz w:val="32"/>
          <w:szCs w:val="32"/>
          <w14:textFill>
            <w14:solidFill>
              <w14:schemeClr w14:val="tx1"/>
            </w14:solidFill>
          </w14:textFill>
        </w:rPr>
      </w:pPr>
      <w:r>
        <w:rPr>
          <w:rFonts w:hint="eastAsia" w:ascii="宋体" w:hAnsi="宋体" w:cs="宋体"/>
          <w:b/>
          <w:bCs/>
          <w:color w:val="000000" w:themeColor="text1"/>
          <w:sz w:val="32"/>
          <w:szCs w:val="32"/>
          <w14:textFill>
            <w14:solidFill>
              <w14:schemeClr w14:val="tx1"/>
            </w14:solidFill>
          </w14:textFill>
        </w:rPr>
        <w:t>202</w:t>
      </w:r>
      <w:r>
        <w:rPr>
          <w:rFonts w:hint="eastAsia" w:ascii="宋体" w:hAnsi="宋体" w:cs="宋体"/>
          <w:b/>
          <w:bCs/>
          <w:color w:val="000000" w:themeColor="text1"/>
          <w:sz w:val="32"/>
          <w:szCs w:val="32"/>
          <w:lang w:val="en-US" w:eastAsia="zh-CN"/>
          <w14:textFill>
            <w14:solidFill>
              <w14:schemeClr w14:val="tx1"/>
            </w14:solidFill>
          </w14:textFill>
        </w:rPr>
        <w:t>2</w:t>
      </w:r>
      <w:r>
        <w:rPr>
          <w:rFonts w:hint="eastAsia" w:ascii="宋体" w:hAnsi="宋体" w:cs="宋体"/>
          <w:b/>
          <w:bCs/>
          <w:color w:val="000000" w:themeColor="text1"/>
          <w:sz w:val="32"/>
          <w:szCs w:val="32"/>
          <w14:textFill>
            <w14:solidFill>
              <w14:schemeClr w14:val="tx1"/>
            </w14:solidFill>
          </w14:textFill>
        </w:rPr>
        <w:t>年</w:t>
      </w:r>
      <w:r>
        <w:rPr>
          <w:rFonts w:hint="eastAsia" w:ascii="宋体" w:hAnsi="宋体" w:cs="宋体"/>
          <w:b/>
          <w:bCs/>
          <w:color w:val="000000" w:themeColor="text1"/>
          <w:sz w:val="32"/>
          <w:szCs w:val="32"/>
          <w:lang w:val="en-US" w:eastAsia="zh-CN"/>
          <w14:textFill>
            <w14:solidFill>
              <w14:schemeClr w14:val="tx1"/>
            </w14:solidFill>
          </w14:textFill>
        </w:rPr>
        <w:t>10</w:t>
      </w:r>
      <w:r>
        <w:rPr>
          <w:rFonts w:hint="eastAsia" w:ascii="宋体" w:hAnsi="宋体" w:cs="宋体"/>
          <w:b/>
          <w:bCs/>
          <w:color w:val="000000" w:themeColor="text1"/>
          <w:sz w:val="32"/>
          <w:szCs w:val="32"/>
          <w14:textFill>
            <w14:solidFill>
              <w14:schemeClr w14:val="tx1"/>
            </w14:solidFill>
          </w14:textFill>
        </w:rPr>
        <w:t>月</w:t>
      </w:r>
    </w:p>
    <w:p>
      <w:pPr>
        <w:spacing w:before="156"/>
        <w:ind w:firstLine="0" w:firstLineChars="0"/>
        <w:rPr>
          <w:rFonts w:eastAsia="仿宋_GB2312"/>
          <w:b/>
          <w:sz w:val="48"/>
          <w:szCs w:val="48"/>
        </w:rPr>
      </w:pPr>
      <w:r>
        <w:rPr>
          <w:rFonts w:eastAsia="黑体"/>
          <w:color w:val="000000" w:themeColor="text1"/>
          <w:sz w:val="32"/>
          <w:szCs w:val="32"/>
          <w14:textFill>
            <w14:solidFill>
              <w14:schemeClr w14:val="tx1"/>
            </w14:solidFill>
          </w14:textFill>
        </w:rPr>
        <w:br w:type="page"/>
      </w:r>
    </w:p>
    <w:p>
      <w:pPr>
        <w:pStyle w:val="3"/>
        <w:spacing w:before="240" w:after="156" w:afterLines="50"/>
        <w:ind w:left="0" w:firstLine="0" w:firstLineChars="0"/>
        <w:jc w:val="center"/>
        <w:rPr>
          <w:b w:val="0"/>
          <w:color w:val="000000" w:themeColor="text1"/>
          <w:sz w:val="44"/>
          <w:szCs w:val="44"/>
          <w14:textFill>
            <w14:solidFill>
              <w14:schemeClr w14:val="tx1"/>
            </w14:solidFill>
          </w14:textFill>
        </w:rPr>
      </w:pPr>
      <w:bookmarkStart w:id="0" w:name="_Toc25457"/>
    </w:p>
    <w:p>
      <w:pPr>
        <w:pStyle w:val="3"/>
        <w:spacing w:before="240" w:after="156" w:afterLines="50"/>
        <w:ind w:left="0" w:firstLine="0" w:firstLineChars="0"/>
        <w:jc w:val="center"/>
        <w:rPr>
          <w:b w:val="0"/>
          <w:bCs/>
          <w:color w:val="000000" w:themeColor="text1"/>
          <w:sz w:val="44"/>
          <w:szCs w:val="44"/>
          <w14:textFill>
            <w14:solidFill>
              <w14:schemeClr w14:val="tx1"/>
            </w14:solidFill>
          </w14:textFill>
        </w:rPr>
      </w:pPr>
      <w:bookmarkStart w:id="1" w:name="_Toc116035388"/>
      <w:bookmarkStart w:id="2" w:name="_Toc116110872"/>
      <w:r>
        <w:rPr>
          <w:rFonts w:hint="eastAsia"/>
          <w:b w:val="0"/>
          <w:color w:val="000000" w:themeColor="text1"/>
          <w:sz w:val="44"/>
          <w:szCs w:val="44"/>
          <w14:textFill>
            <w14:solidFill>
              <w14:schemeClr w14:val="tx1"/>
            </w14:solidFill>
          </w14:textFill>
        </w:rPr>
        <w:t>批  准  页</w:t>
      </w:r>
      <w:bookmarkEnd w:id="0"/>
      <w:bookmarkEnd w:id="1"/>
      <w:bookmarkEnd w:id="2"/>
    </w:p>
    <w:p>
      <w:pPr>
        <w:pStyle w:val="28"/>
        <w:spacing w:before="312" w:beforeLines="100" w:beforeAutospacing="0" w:after="0" w:afterAutospacing="0" w:line="520" w:lineRule="exact"/>
        <w:ind w:left="0" w:leftChars="0" w:firstLine="560" w:firstLineChars="200"/>
        <w:jc w:val="left"/>
        <w:rPr>
          <w:rFonts w:ascii="仿宋" w:hAnsi="仿宋" w:eastAsia="仿宋"/>
          <w:sz w:val="28"/>
          <w:szCs w:val="28"/>
        </w:rPr>
      </w:pPr>
      <w:r>
        <w:rPr>
          <w:rFonts w:ascii="仿宋" w:hAnsi="仿宋" w:eastAsia="仿宋"/>
          <w:sz w:val="28"/>
          <w:szCs w:val="28"/>
        </w:rPr>
        <w:t>为认真贯彻执行国家有关突发环境事件的法律、法规，确保在突发环境事件发生后，有效地组织抢险和救援，保障人员及财产安全</w:t>
      </w:r>
      <w:r>
        <w:rPr>
          <w:rFonts w:hint="eastAsia" w:ascii="仿宋" w:hAnsi="仿宋" w:eastAsia="仿宋"/>
          <w:sz w:val="28"/>
          <w:szCs w:val="28"/>
        </w:rPr>
        <w:t>。抚顺高新技术产业开发区管理委员会编制了</w:t>
      </w:r>
      <w:r>
        <w:rPr>
          <w:rFonts w:hint="eastAsia" w:ascii="仿宋" w:hAnsi="仿宋" w:eastAsia="仿宋"/>
          <w:color w:val="000000" w:themeColor="text1"/>
          <w:sz w:val="28"/>
          <w:szCs w:val="28"/>
          <w14:textFill>
            <w14:solidFill>
              <w14:schemeClr w14:val="tx1"/>
            </w14:solidFill>
          </w14:textFill>
        </w:rPr>
        <w:t>《抚顺高新技术产业开发区突发环境事件应急预案》</w:t>
      </w:r>
      <w:r>
        <w:rPr>
          <w:rFonts w:ascii="仿宋" w:hAnsi="仿宋" w:eastAsia="仿宋"/>
          <w:sz w:val="28"/>
          <w:szCs w:val="28"/>
        </w:rPr>
        <w:t>（下简称预案），现予以发布实施。</w:t>
      </w:r>
    </w:p>
    <w:p>
      <w:pPr>
        <w:spacing w:before="0" w:beforeLines="0" w:line="520" w:lineRule="exact"/>
        <w:ind w:firstLine="560"/>
        <w:rPr>
          <w:rFonts w:ascii="仿宋" w:hAnsi="仿宋" w:eastAsia="仿宋"/>
          <w:sz w:val="28"/>
          <w:szCs w:val="28"/>
        </w:rPr>
      </w:pPr>
      <w:r>
        <w:rPr>
          <w:rFonts w:ascii="仿宋" w:hAnsi="仿宋" w:eastAsia="仿宋"/>
          <w:sz w:val="28"/>
          <w:szCs w:val="28"/>
        </w:rPr>
        <w:t>本预案是</w:t>
      </w:r>
      <w:r>
        <w:rPr>
          <w:rFonts w:hint="eastAsia" w:ascii="仿宋" w:hAnsi="仿宋" w:eastAsia="仿宋"/>
          <w:sz w:val="28"/>
          <w:szCs w:val="28"/>
        </w:rPr>
        <w:t>抚顺高新技术产业开发区</w:t>
      </w:r>
      <w:r>
        <w:rPr>
          <w:rFonts w:ascii="仿宋" w:hAnsi="仿宋" w:eastAsia="仿宋"/>
          <w:sz w:val="28"/>
          <w:szCs w:val="28"/>
        </w:rPr>
        <w:t>应对突发环境事件的纲领性文件，</w:t>
      </w:r>
      <w:r>
        <w:rPr>
          <w:rFonts w:hint="eastAsia" w:ascii="仿宋" w:hAnsi="仿宋" w:eastAsia="仿宋"/>
          <w:sz w:val="28"/>
          <w:szCs w:val="28"/>
        </w:rPr>
        <w:t>阐述了预案适用范围与事件分级，明确了应急组织机构与职责、应急响应、应急保障等要求，用于指导园区内</w:t>
      </w:r>
      <w:r>
        <w:rPr>
          <w:rFonts w:ascii="仿宋" w:hAnsi="仿宋" w:eastAsia="仿宋"/>
          <w:sz w:val="28"/>
          <w:szCs w:val="28"/>
        </w:rPr>
        <w:t>所有发生或可能发生的突发性环境事件</w:t>
      </w:r>
      <w:r>
        <w:rPr>
          <w:rFonts w:hint="eastAsia" w:ascii="仿宋" w:hAnsi="仿宋" w:eastAsia="仿宋"/>
          <w:sz w:val="28"/>
          <w:szCs w:val="28"/>
        </w:rPr>
        <w:t>的</w:t>
      </w:r>
      <w:r>
        <w:rPr>
          <w:rFonts w:ascii="仿宋" w:hAnsi="仿宋" w:eastAsia="仿宋"/>
          <w:sz w:val="28"/>
          <w:szCs w:val="28"/>
        </w:rPr>
        <w:t>预防</w:t>
      </w:r>
      <w:r>
        <w:rPr>
          <w:rFonts w:hint="eastAsia" w:ascii="仿宋" w:hAnsi="仿宋" w:eastAsia="仿宋"/>
          <w:sz w:val="28"/>
          <w:szCs w:val="28"/>
        </w:rPr>
        <w:t>、响应和救援等应急工作。</w:t>
      </w:r>
    </w:p>
    <w:p>
      <w:pPr>
        <w:spacing w:before="0" w:beforeLines="0" w:line="520" w:lineRule="exact"/>
        <w:ind w:firstLine="560"/>
        <w:rPr>
          <w:rFonts w:ascii="仿宋" w:hAnsi="仿宋" w:eastAsia="仿宋"/>
          <w:sz w:val="28"/>
          <w:szCs w:val="28"/>
        </w:rPr>
      </w:pPr>
      <w:r>
        <w:rPr>
          <w:rFonts w:hint="eastAsia" w:ascii="仿宋" w:hAnsi="仿宋" w:eastAsia="仿宋"/>
          <w:sz w:val="28"/>
          <w:szCs w:val="28"/>
        </w:rPr>
        <w:t>园区企业及全体人员要</w:t>
      </w:r>
      <w:r>
        <w:rPr>
          <w:rFonts w:ascii="仿宋" w:hAnsi="仿宋" w:eastAsia="仿宋"/>
          <w:sz w:val="28"/>
          <w:szCs w:val="28"/>
        </w:rPr>
        <w:t>按照本预案的内容要求，积极参加培训和演练，提高防范突发环境事件及从业人员事故处置应急能力，确保熟悉预案流程及要求，在突发环境事件发生后，按照预定方案迅速展开应急救援工作</w:t>
      </w:r>
      <w:r>
        <w:rPr>
          <w:rFonts w:hint="eastAsia" w:ascii="仿宋" w:hAnsi="仿宋" w:eastAsia="仿宋"/>
          <w:sz w:val="28"/>
          <w:szCs w:val="28"/>
        </w:rPr>
        <w:t>。</w:t>
      </w:r>
    </w:p>
    <w:p>
      <w:pPr>
        <w:spacing w:before="0" w:beforeLines="0" w:line="520" w:lineRule="exact"/>
        <w:ind w:firstLine="560"/>
        <w:rPr>
          <w:rFonts w:ascii="仿宋" w:hAnsi="仿宋" w:eastAsia="仿宋"/>
          <w:sz w:val="28"/>
          <w:szCs w:val="28"/>
        </w:rPr>
      </w:pPr>
      <w:r>
        <w:rPr>
          <w:rFonts w:ascii="仿宋" w:hAnsi="仿宋" w:eastAsia="仿宋"/>
          <w:sz w:val="28"/>
          <w:szCs w:val="28"/>
        </w:rPr>
        <w:t>本预案自发布之日起正式实施，</w:t>
      </w:r>
      <w:r>
        <w:rPr>
          <w:rFonts w:hint="eastAsia" w:ascii="仿宋" w:hAnsi="仿宋" w:eastAsia="仿宋"/>
          <w:sz w:val="28"/>
          <w:szCs w:val="28"/>
        </w:rPr>
        <w:t>园区企业及全体人员</w:t>
      </w:r>
      <w:r>
        <w:rPr>
          <w:rFonts w:ascii="仿宋" w:hAnsi="仿宋" w:eastAsia="仿宋"/>
          <w:sz w:val="28"/>
          <w:szCs w:val="28"/>
        </w:rPr>
        <w:t>务必严格执行。</w:t>
      </w:r>
    </w:p>
    <w:p>
      <w:pPr>
        <w:spacing w:before="156"/>
        <w:ind w:right="1400" w:firstLine="3360" w:firstLineChars="1200"/>
        <w:rPr>
          <w:rFonts w:ascii="宋体" w:hAnsi="宋体"/>
          <w:sz w:val="28"/>
          <w:szCs w:val="28"/>
        </w:rPr>
      </w:pPr>
    </w:p>
    <w:p>
      <w:pPr>
        <w:spacing w:before="156"/>
        <w:ind w:right="1400" w:firstLine="3360" w:firstLineChars="1200"/>
        <w:rPr>
          <w:rFonts w:ascii="宋体" w:hAnsi="宋体"/>
          <w:sz w:val="28"/>
          <w:szCs w:val="28"/>
        </w:rPr>
      </w:pPr>
    </w:p>
    <w:p>
      <w:pPr>
        <w:spacing w:before="156"/>
        <w:ind w:right="1400" w:firstLine="3360" w:firstLineChars="1200"/>
        <w:rPr>
          <w:rFonts w:ascii="宋体" w:hAnsi="宋体"/>
          <w:sz w:val="28"/>
          <w:szCs w:val="28"/>
        </w:rPr>
      </w:pPr>
      <w:r>
        <w:rPr>
          <w:rFonts w:hint="eastAsia" w:ascii="宋体" w:hAnsi="宋体"/>
          <w:sz w:val="28"/>
          <w:szCs w:val="28"/>
        </w:rPr>
        <w:t>签发人</w:t>
      </w:r>
      <w:r>
        <w:rPr>
          <w:rFonts w:ascii="宋体" w:hAnsi="宋体"/>
          <w:sz w:val="28"/>
          <w:szCs w:val="28"/>
        </w:rPr>
        <w:t>：</w:t>
      </w:r>
      <w:r>
        <w:rPr>
          <w:sz w:val="28"/>
          <w:szCs w:val="28"/>
        </w:rPr>
        <w:t xml:space="preserve">  </w:t>
      </w:r>
      <w:r>
        <w:rPr>
          <w:rFonts w:hint="eastAsia" w:ascii="宋体" w:hAnsi="宋体"/>
          <w:sz w:val="28"/>
          <w:szCs w:val="28"/>
        </w:rPr>
        <w:t xml:space="preserve"> </w:t>
      </w:r>
    </w:p>
    <w:p>
      <w:pPr>
        <w:spacing w:before="156"/>
        <w:ind w:right="1400" w:firstLine="4340" w:firstLineChars="1550"/>
        <w:rPr>
          <w:sz w:val="28"/>
          <w:szCs w:val="28"/>
        </w:rPr>
      </w:pPr>
      <w:r>
        <w:rPr>
          <w:rFonts w:hint="eastAsia" w:ascii="宋体" w:hAnsi="宋体"/>
          <w:sz w:val="28"/>
          <w:szCs w:val="28"/>
        </w:rPr>
        <w:t xml:space="preserve">  </w:t>
      </w:r>
      <w:r>
        <w:rPr>
          <w:rFonts w:hint="eastAsia"/>
          <w:sz w:val="28"/>
          <w:szCs w:val="28"/>
        </w:rPr>
        <w:t>202</w:t>
      </w:r>
      <w:r>
        <w:rPr>
          <w:rFonts w:hint="eastAsia"/>
          <w:sz w:val="28"/>
          <w:szCs w:val="28"/>
          <w:lang w:val="en-US" w:eastAsia="zh-CN"/>
        </w:rPr>
        <w:t>2</w:t>
      </w:r>
      <w:r>
        <w:rPr>
          <w:rFonts w:ascii="宋体" w:hAnsi="宋体"/>
          <w:sz w:val="28"/>
          <w:szCs w:val="28"/>
        </w:rPr>
        <w:t>年</w:t>
      </w:r>
      <w:r>
        <w:rPr>
          <w:rFonts w:hint="eastAsia"/>
          <w:sz w:val="28"/>
          <w:szCs w:val="28"/>
          <w:lang w:val="en-US" w:eastAsia="zh-CN"/>
        </w:rPr>
        <w:t>10</w:t>
      </w:r>
      <w:r>
        <w:rPr>
          <w:rFonts w:ascii="宋体" w:hAnsi="宋体"/>
          <w:sz w:val="28"/>
          <w:szCs w:val="28"/>
        </w:rPr>
        <w:t>月</w:t>
      </w:r>
      <w:r>
        <w:rPr>
          <w:rFonts w:hint="eastAsia"/>
          <w:sz w:val="28"/>
          <w:szCs w:val="28"/>
          <w:lang w:val="en-US" w:eastAsia="zh-CN"/>
        </w:rPr>
        <w:t>31</w:t>
      </w:r>
      <w:r>
        <w:rPr>
          <w:rFonts w:hint="eastAsia"/>
          <w:sz w:val="28"/>
          <w:szCs w:val="28"/>
        </w:rPr>
        <w:t>日</w:t>
      </w:r>
    </w:p>
    <w:p>
      <w:pPr>
        <w:pStyle w:val="2"/>
        <w:spacing w:before="156"/>
        <w:ind w:firstLine="480"/>
      </w:pPr>
    </w:p>
    <w:p>
      <w:pPr>
        <w:pStyle w:val="2"/>
        <w:spacing w:before="156"/>
        <w:ind w:firstLine="480"/>
      </w:pPr>
    </w:p>
    <w:sdt>
      <w:sdtPr>
        <w:rPr>
          <w:rFonts w:ascii="宋体" w:hAnsi="宋体"/>
          <w:color w:val="000000" w:themeColor="text1"/>
          <w:sz w:val="21"/>
          <w:szCs w:val="18"/>
          <w14:textFill>
            <w14:solidFill>
              <w14:schemeClr w14:val="tx1"/>
            </w14:solidFill>
          </w14:textFill>
        </w:rPr>
        <w:id w:val="147452853"/>
        <w:docPartObj>
          <w:docPartGallery w:val="Table of Contents"/>
          <w:docPartUnique/>
        </w:docPartObj>
      </w:sdtPr>
      <w:sdtEndPr>
        <w:rPr>
          <w:rFonts w:hint="eastAsia" w:ascii="Times New Roman" w:hAnsi="Times New Roman"/>
          <w:color w:val="000000" w:themeColor="text1"/>
          <w:sz w:val="18"/>
          <w:szCs w:val="18"/>
          <w14:textFill>
            <w14:solidFill>
              <w14:schemeClr w14:val="tx1"/>
            </w14:solidFill>
          </w14:textFill>
        </w:rPr>
      </w:sdtEndPr>
      <w:sdtContent>
        <w:p>
          <w:pPr>
            <w:spacing w:before="0" w:beforeLines="0" w:line="320" w:lineRule="exact"/>
            <w:ind w:firstLine="0" w:firstLineChars="0"/>
            <w:jc w:val="center"/>
            <w:rPr>
              <w:rFonts w:asciiTheme="minorEastAsia" w:hAnsiTheme="minorEastAsia" w:eastAsiaTheme="minorEastAsia"/>
              <w:sz w:val="21"/>
              <w:szCs w:val="21"/>
            </w:rPr>
          </w:pPr>
          <w:r>
            <w:rPr>
              <w:rFonts w:ascii="宋体" w:hAnsi="宋体"/>
              <w:b/>
              <w:color w:val="000000" w:themeColor="text1"/>
              <w14:textFill>
                <w14:solidFill>
                  <w14:schemeClr w14:val="tx1"/>
                </w14:solidFill>
              </w14:textFill>
            </w:rPr>
            <w:t>目</w:t>
          </w:r>
          <w:r>
            <w:rPr>
              <w:rFonts w:hint="eastAsia" w:ascii="宋体" w:hAnsi="宋体"/>
              <w:b/>
              <w:color w:val="000000" w:themeColor="text1"/>
              <w14:textFill>
                <w14:solidFill>
                  <w14:schemeClr w14:val="tx1"/>
                </w14:solidFill>
              </w14:textFill>
            </w:rPr>
            <w:t xml:space="preserve">  </w:t>
          </w:r>
          <w:r>
            <w:rPr>
              <w:rFonts w:ascii="宋体" w:hAnsi="宋体"/>
              <w:b/>
              <w:color w:val="000000" w:themeColor="text1"/>
              <w14:textFill>
                <w14:solidFill>
                  <w14:schemeClr w14:val="tx1"/>
                </w14:solidFill>
              </w14:textFill>
            </w:rPr>
            <w:t>录</w:t>
          </w:r>
          <w:r>
            <w:rPr>
              <w:rFonts w:hint="eastAsia" w:asciiTheme="minorEastAsia" w:hAnsiTheme="minorEastAsia" w:eastAsiaTheme="minorEastAsia"/>
              <w:color w:val="000000" w:themeColor="text1"/>
              <w:sz w:val="21"/>
              <w:szCs w:val="21"/>
              <w14:textFill>
                <w14:solidFill>
                  <w14:schemeClr w14:val="tx1"/>
                </w14:solidFill>
              </w14:textFill>
            </w:rPr>
            <w:fldChar w:fldCharType="begin"/>
          </w:r>
          <w:r>
            <w:rPr>
              <w:rFonts w:hint="eastAsia" w:asciiTheme="minorEastAsia" w:hAnsiTheme="minorEastAsia" w:eastAsiaTheme="minorEastAsia"/>
              <w:color w:val="000000" w:themeColor="text1"/>
              <w:sz w:val="21"/>
              <w:szCs w:val="21"/>
              <w14:textFill>
                <w14:solidFill>
                  <w14:schemeClr w14:val="tx1"/>
                </w14:solidFill>
              </w14:textFill>
            </w:rPr>
            <w:instrText xml:space="preserve">TOC \o "1-3" \h \u </w:instrText>
          </w:r>
          <w:r>
            <w:rPr>
              <w:rFonts w:hint="eastAsia" w:asciiTheme="minorEastAsia" w:hAnsiTheme="minorEastAsia" w:eastAsiaTheme="minorEastAsia"/>
              <w:color w:val="000000" w:themeColor="text1"/>
              <w:sz w:val="21"/>
              <w:szCs w:val="21"/>
              <w14:textFill>
                <w14:solidFill>
                  <w14:schemeClr w14:val="tx1"/>
                </w14:solidFill>
              </w14:textFill>
            </w:rPr>
            <w:fldChar w:fldCharType="separate"/>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"_Toc116110872" </w:instrText>
          </w:r>
          <w:r>
            <w:fldChar w:fldCharType="separate"/>
          </w:r>
          <w:r>
            <w:rPr>
              <w:rStyle w:val="63"/>
              <w:rFonts w:asciiTheme="minorEastAsia" w:hAnsiTheme="minorEastAsia" w:eastAsiaTheme="minorEastAsia"/>
              <w:sz w:val="21"/>
              <w:szCs w:val="21"/>
            </w:rPr>
            <w:t>批  准  页</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"_Toc116110873" </w:instrText>
          </w:r>
          <w:r>
            <w:fldChar w:fldCharType="separate"/>
          </w:r>
          <w:r>
            <w:rPr>
              <w:rStyle w:val="63"/>
              <w:rFonts w:asciiTheme="minorEastAsia" w:hAnsiTheme="minorEastAsia" w:eastAsiaTheme="minorEastAsia"/>
              <w:sz w:val="21"/>
              <w:szCs w:val="21"/>
            </w:rPr>
            <w:t>1总则</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left" w:pos="1680"/>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"_Toc116110874" </w:instrText>
          </w:r>
          <w:r>
            <w:fldChar w:fldCharType="separate"/>
          </w:r>
          <w:r>
            <w:rPr>
              <w:rStyle w:val="63"/>
              <w:rFonts w:asciiTheme="minorEastAsia" w:hAnsiTheme="minorEastAsia" w:eastAsiaTheme="minorEastAsia"/>
              <w:sz w:val="21"/>
              <w:szCs w:val="21"/>
            </w:rPr>
            <w:t>1.1.</w:t>
          </w:r>
          <w:r>
            <w:rPr>
              <w:rFonts w:asciiTheme="minorEastAsia" w:hAnsiTheme="minorEastAsia" w:eastAsiaTheme="minorEastAsia" w:cstheme="minorBidi"/>
              <w:sz w:val="21"/>
              <w:szCs w:val="21"/>
            </w:rPr>
            <w:tab/>
          </w:r>
          <w:r>
            <w:rPr>
              <w:rStyle w:val="63"/>
              <w:rFonts w:cs="宋体" w:asciiTheme="minorEastAsia" w:hAnsiTheme="minorEastAsia" w:eastAsiaTheme="minorEastAsia"/>
              <w:sz w:val="21"/>
              <w:szCs w:val="21"/>
            </w:rPr>
            <w:t>编制目的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"_Toc116110875" </w:instrText>
          </w:r>
          <w:r>
            <w:fldChar w:fldCharType="separate"/>
          </w:r>
          <w:r>
            <w:rPr>
              <w:rStyle w:val="63"/>
              <w:rFonts w:asciiTheme="minorEastAsia" w:hAnsiTheme="minorEastAsia" w:eastAsiaTheme="minorEastAsia"/>
              <w:bCs/>
              <w:sz w:val="21"/>
              <w:szCs w:val="21"/>
            </w:rPr>
            <w:t>1.2</w:t>
          </w:r>
          <w:r>
            <w:rPr>
              <w:rStyle w:val="63"/>
              <w:rFonts w:cs="宋体" w:asciiTheme="minorEastAsia" w:hAnsiTheme="minorEastAsia" w:eastAsiaTheme="minorEastAsia"/>
              <w:bCs/>
              <w:sz w:val="21"/>
              <w:szCs w:val="21"/>
            </w:rPr>
            <w:t>编制依据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"_Toc116110876" </w:instrText>
          </w:r>
          <w:r>
            <w:fldChar w:fldCharType="separate"/>
          </w:r>
          <w:r>
            <w:rPr>
              <w:rStyle w:val="63"/>
              <w:rFonts w:asciiTheme="minorEastAsia" w:hAnsiTheme="minorEastAsia" w:eastAsiaTheme="minorEastAsia"/>
              <w:sz w:val="21"/>
              <w:szCs w:val="21"/>
            </w:rPr>
            <w:t>1.2.1国家和地方有关环保法律、法规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"_Toc116110877" </w:instrText>
          </w:r>
          <w:r>
            <w:fldChar w:fldCharType="separate"/>
          </w:r>
          <w:r>
            <w:rPr>
              <w:rStyle w:val="63"/>
              <w:rFonts w:asciiTheme="minorEastAsia" w:hAnsiTheme="minorEastAsia" w:eastAsiaTheme="minorEastAsia"/>
              <w:sz w:val="21"/>
              <w:szCs w:val="21"/>
            </w:rPr>
            <w:t>1.2.2标准规范</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"_Toc116110878" </w:instrText>
          </w:r>
          <w:r>
            <w:fldChar w:fldCharType="separate"/>
          </w:r>
          <w:r>
            <w:rPr>
              <w:rStyle w:val="63"/>
              <w:rFonts w:asciiTheme="minorEastAsia" w:hAnsiTheme="minorEastAsia" w:eastAsiaTheme="minorEastAsia"/>
              <w:sz w:val="21"/>
              <w:szCs w:val="21"/>
            </w:rPr>
            <w:t>1.2.3其他文件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"_Toc116110879" </w:instrText>
          </w:r>
          <w:r>
            <w:fldChar w:fldCharType="separate"/>
          </w:r>
          <w:r>
            <w:rPr>
              <w:rStyle w:val="63"/>
              <w:rFonts w:asciiTheme="minorEastAsia" w:hAnsiTheme="minorEastAsia" w:eastAsiaTheme="minorEastAsia"/>
              <w:sz w:val="21"/>
              <w:szCs w:val="21"/>
            </w:rPr>
            <w:t>1.3</w:t>
          </w:r>
          <w:r>
            <w:rPr>
              <w:rStyle w:val="63"/>
              <w:rFonts w:cs="宋体" w:asciiTheme="minorEastAsia" w:hAnsiTheme="minorEastAsia" w:eastAsiaTheme="minorEastAsia"/>
              <w:sz w:val="21"/>
              <w:szCs w:val="21"/>
            </w:rPr>
            <w:t>事件分级</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_Toc116110879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"_Toc116110880" </w:instrText>
          </w:r>
          <w:r>
            <w:fldChar w:fldCharType="separate"/>
          </w:r>
          <w:r>
            <w:rPr>
              <w:rStyle w:val="63"/>
              <w:rFonts w:asciiTheme="minorEastAsia" w:hAnsiTheme="minorEastAsia" w:eastAsiaTheme="minorEastAsia"/>
              <w:bCs/>
              <w:sz w:val="21"/>
              <w:szCs w:val="21"/>
            </w:rPr>
            <w:t>1.4</w:t>
          </w:r>
          <w:r>
            <w:rPr>
              <w:rStyle w:val="63"/>
              <w:rFonts w:cs="宋体" w:asciiTheme="minorEastAsia" w:hAnsiTheme="minorEastAsia" w:eastAsiaTheme="minorEastAsia"/>
              <w:bCs/>
              <w:sz w:val="21"/>
              <w:szCs w:val="21"/>
            </w:rPr>
            <w:t>适用范围</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"_Toc116110881" </w:instrText>
          </w:r>
          <w:r>
            <w:fldChar w:fldCharType="separate"/>
          </w:r>
          <w:r>
            <w:rPr>
              <w:rStyle w:val="63"/>
              <w:rFonts w:asciiTheme="minorEastAsia" w:hAnsiTheme="minorEastAsia" w:eastAsiaTheme="minorEastAsia"/>
              <w:bCs/>
              <w:sz w:val="21"/>
              <w:szCs w:val="21"/>
            </w:rPr>
            <w:t>1.5</w:t>
          </w:r>
          <w:r>
            <w:rPr>
              <w:rStyle w:val="63"/>
              <w:rFonts w:cs="宋体" w:asciiTheme="minorEastAsia" w:hAnsiTheme="minorEastAsia" w:eastAsiaTheme="minorEastAsia"/>
              <w:bCs/>
              <w:sz w:val="21"/>
              <w:szCs w:val="21"/>
            </w:rPr>
            <w:t>工作原则</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"_Toc116110882" </w:instrText>
          </w:r>
          <w:r>
            <w:fldChar w:fldCharType="separate"/>
          </w:r>
          <w:r>
            <w:rPr>
              <w:rStyle w:val="63"/>
              <w:rFonts w:asciiTheme="minorEastAsia" w:hAnsiTheme="minorEastAsia" w:eastAsiaTheme="minorEastAsia"/>
              <w:sz w:val="21"/>
              <w:szCs w:val="21"/>
            </w:rPr>
            <w:t>1.6 应急救援预案体系</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"_Toc116110883" </w:instrText>
          </w:r>
          <w:r>
            <w:fldChar w:fldCharType="separate"/>
          </w:r>
          <w:r>
            <w:rPr>
              <w:rStyle w:val="63"/>
              <w:rFonts w:asciiTheme="minorEastAsia" w:hAnsiTheme="minorEastAsia" w:eastAsiaTheme="minorEastAsia"/>
              <w:sz w:val="21"/>
              <w:szCs w:val="21"/>
            </w:rPr>
            <w:t xml:space="preserve">1.7 </w:t>
          </w:r>
          <w:r>
            <w:rPr>
              <w:rStyle w:val="63"/>
              <w:rFonts w:cs="宋体" w:asciiTheme="minorEastAsia" w:hAnsiTheme="minorEastAsia" w:eastAsiaTheme="minorEastAsia"/>
              <w:sz w:val="21"/>
              <w:szCs w:val="21"/>
            </w:rPr>
            <w:t>应急预案启动条件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"_Toc116110884" </w:instrText>
          </w:r>
          <w:r>
            <w:fldChar w:fldCharType="separate"/>
          </w:r>
          <w:r>
            <w:rPr>
              <w:rStyle w:val="63"/>
              <w:rFonts w:asciiTheme="minorEastAsia" w:hAnsiTheme="minorEastAsia" w:eastAsiaTheme="minorEastAsia"/>
              <w:sz w:val="21"/>
              <w:szCs w:val="21"/>
            </w:rPr>
            <w:t>2应急组织指挥体系与职责</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"_Toc116110885" </w:instrText>
          </w:r>
          <w:r>
            <w:fldChar w:fldCharType="separate"/>
          </w:r>
          <w:r>
            <w:rPr>
              <w:rStyle w:val="63"/>
              <w:rFonts w:asciiTheme="minorEastAsia" w:hAnsiTheme="minorEastAsia" w:eastAsiaTheme="minorEastAsia"/>
              <w:sz w:val="21"/>
              <w:szCs w:val="21"/>
            </w:rPr>
            <w:t>2.1高新区</w:t>
          </w:r>
          <w:r>
            <w:rPr>
              <w:rStyle w:val="63"/>
              <w:rFonts w:cs="宋体" w:asciiTheme="minorEastAsia" w:hAnsiTheme="minorEastAsia" w:eastAsiaTheme="minorEastAsia"/>
              <w:sz w:val="21"/>
              <w:szCs w:val="21"/>
            </w:rPr>
            <w:t>应急指挥机构及职责</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"_Toc116110886" </w:instrText>
          </w:r>
          <w:r>
            <w:fldChar w:fldCharType="separate"/>
          </w:r>
          <w:r>
            <w:rPr>
              <w:rStyle w:val="63"/>
              <w:rFonts w:asciiTheme="minorEastAsia" w:hAnsiTheme="minorEastAsia" w:eastAsiaTheme="minorEastAsia"/>
              <w:sz w:val="21"/>
              <w:szCs w:val="21"/>
            </w:rPr>
            <w:t>2.1.1高新区应急救援领导小组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"_Toc116110887" </w:instrText>
          </w:r>
          <w:r>
            <w:fldChar w:fldCharType="separate"/>
          </w:r>
          <w:r>
            <w:rPr>
              <w:rStyle w:val="63"/>
              <w:rFonts w:asciiTheme="minorEastAsia" w:hAnsiTheme="minorEastAsia" w:eastAsiaTheme="minorEastAsia"/>
              <w:sz w:val="21"/>
              <w:szCs w:val="21"/>
            </w:rPr>
            <w:t>2.1.2高新区应急现场指挥部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"_Toc116110888" </w:instrText>
          </w:r>
          <w:r>
            <w:fldChar w:fldCharType="separate"/>
          </w:r>
          <w:r>
            <w:rPr>
              <w:rStyle w:val="63"/>
              <w:rFonts w:asciiTheme="minorEastAsia" w:hAnsiTheme="minorEastAsia" w:eastAsiaTheme="minorEastAsia"/>
              <w:sz w:val="21"/>
              <w:szCs w:val="21"/>
            </w:rPr>
            <w:t>2.2应急救援工作机构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"_Toc116110889" </w:instrText>
          </w:r>
          <w:r>
            <w:fldChar w:fldCharType="separate"/>
          </w:r>
          <w:r>
            <w:rPr>
              <w:rStyle w:val="63"/>
              <w:rFonts w:asciiTheme="minorEastAsia" w:hAnsiTheme="minorEastAsia" w:eastAsiaTheme="minorEastAsia"/>
              <w:sz w:val="21"/>
              <w:szCs w:val="21"/>
            </w:rPr>
            <w:t>2.2.1应急救援指挥部办公室</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_Toc116110889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"_Toc116110890" </w:instrText>
          </w:r>
          <w:r>
            <w:fldChar w:fldCharType="separate"/>
          </w:r>
          <w:r>
            <w:rPr>
              <w:rStyle w:val="63"/>
              <w:rFonts w:asciiTheme="minorEastAsia" w:hAnsiTheme="minorEastAsia" w:eastAsiaTheme="minorEastAsia"/>
              <w:sz w:val="21"/>
              <w:szCs w:val="21"/>
            </w:rPr>
            <w:t>2.2.2紧急救援组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"_Toc116110891" </w:instrText>
          </w:r>
          <w:r>
            <w:fldChar w:fldCharType="separate"/>
          </w:r>
          <w:r>
            <w:rPr>
              <w:rStyle w:val="63"/>
              <w:rFonts w:asciiTheme="minorEastAsia" w:hAnsiTheme="minorEastAsia" w:eastAsiaTheme="minorEastAsia"/>
              <w:sz w:val="21"/>
              <w:szCs w:val="21"/>
            </w:rPr>
            <w:t>2.2.3物资保障组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"_Toc116110892" </w:instrText>
          </w:r>
          <w:r>
            <w:fldChar w:fldCharType="separate"/>
          </w:r>
          <w:r>
            <w:rPr>
              <w:rStyle w:val="63"/>
              <w:rFonts w:asciiTheme="minorEastAsia" w:hAnsiTheme="minorEastAsia" w:eastAsiaTheme="minorEastAsia"/>
              <w:sz w:val="21"/>
              <w:szCs w:val="21"/>
            </w:rPr>
            <w:t>2.2.4通讯联络组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"_Toc116110893" </w:instrText>
          </w:r>
          <w:r>
            <w:fldChar w:fldCharType="separate"/>
          </w:r>
          <w:r>
            <w:rPr>
              <w:rStyle w:val="63"/>
              <w:rFonts w:asciiTheme="minorEastAsia" w:hAnsiTheme="minorEastAsia" w:eastAsiaTheme="minorEastAsia"/>
              <w:sz w:val="21"/>
              <w:szCs w:val="21"/>
            </w:rPr>
            <w:t>2.2.5环境监测组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"_Toc116110894" </w:instrText>
          </w:r>
          <w:r>
            <w:fldChar w:fldCharType="separate"/>
          </w:r>
          <w:r>
            <w:rPr>
              <w:rStyle w:val="63"/>
              <w:rFonts w:asciiTheme="minorEastAsia" w:hAnsiTheme="minorEastAsia" w:eastAsiaTheme="minorEastAsia"/>
              <w:sz w:val="21"/>
              <w:szCs w:val="21"/>
            </w:rPr>
            <w:t>2.2.6疏散引导组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"_Toc116110895" </w:instrText>
          </w:r>
          <w:r>
            <w:fldChar w:fldCharType="separate"/>
          </w:r>
          <w:r>
            <w:rPr>
              <w:rStyle w:val="63"/>
              <w:rFonts w:asciiTheme="minorEastAsia" w:hAnsiTheme="minorEastAsia" w:eastAsiaTheme="minorEastAsia"/>
              <w:sz w:val="21"/>
              <w:szCs w:val="21"/>
            </w:rPr>
            <w:t>2.2.7技术专家组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"_Toc116110896" </w:instrText>
          </w:r>
          <w:r>
            <w:fldChar w:fldCharType="separate"/>
          </w:r>
          <w:r>
            <w:rPr>
              <w:rStyle w:val="63"/>
              <w:rFonts w:asciiTheme="minorEastAsia" w:hAnsiTheme="minorEastAsia" w:eastAsiaTheme="minorEastAsia"/>
              <w:sz w:val="21"/>
              <w:szCs w:val="21"/>
            </w:rPr>
            <w:t>2.3指挥关系</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"_Toc116110897" </w:instrText>
          </w:r>
          <w:r>
            <w:fldChar w:fldCharType="separate"/>
          </w:r>
          <w:r>
            <w:rPr>
              <w:rStyle w:val="63"/>
              <w:rFonts w:asciiTheme="minorEastAsia" w:hAnsiTheme="minorEastAsia" w:eastAsiaTheme="minorEastAsia"/>
              <w:sz w:val="21"/>
              <w:szCs w:val="21"/>
            </w:rPr>
            <w:t>3预防与预警</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"_Toc116110898" </w:instrText>
          </w:r>
          <w:r>
            <w:fldChar w:fldCharType="separate"/>
          </w:r>
          <w:r>
            <w:rPr>
              <w:rStyle w:val="63"/>
              <w:rFonts w:asciiTheme="minorEastAsia" w:hAnsiTheme="minorEastAsia" w:eastAsiaTheme="minorEastAsia"/>
              <w:sz w:val="21"/>
              <w:szCs w:val="21"/>
            </w:rPr>
            <w:t>3.1</w:t>
          </w:r>
          <w:r>
            <w:rPr>
              <w:rStyle w:val="63"/>
              <w:rFonts w:cs="宋体" w:asciiTheme="minorEastAsia" w:hAnsiTheme="minorEastAsia" w:eastAsiaTheme="minorEastAsia"/>
              <w:sz w:val="21"/>
              <w:szCs w:val="21"/>
            </w:rPr>
            <w:t>信息监控</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"_Toc116110899" </w:instrText>
          </w:r>
          <w:r>
            <w:fldChar w:fldCharType="separate"/>
          </w:r>
          <w:r>
            <w:rPr>
              <w:rStyle w:val="63"/>
              <w:rFonts w:asciiTheme="minorEastAsia" w:hAnsiTheme="minorEastAsia" w:eastAsiaTheme="minorEastAsia"/>
              <w:sz w:val="21"/>
              <w:szCs w:val="21"/>
            </w:rPr>
            <w:t>3.2环境风险源监控</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_Toc116110899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"_Toc116110900" </w:instrText>
          </w:r>
          <w:r>
            <w:fldChar w:fldCharType="separate"/>
          </w:r>
          <w:r>
            <w:rPr>
              <w:rStyle w:val="63"/>
              <w:rFonts w:asciiTheme="minorEastAsia" w:hAnsiTheme="minorEastAsia" w:eastAsiaTheme="minorEastAsia"/>
              <w:sz w:val="21"/>
              <w:szCs w:val="21"/>
            </w:rPr>
            <w:t>3.2.1开展风险源普查</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"_Toc116110901" </w:instrText>
          </w:r>
          <w:r>
            <w:fldChar w:fldCharType="separate"/>
          </w:r>
          <w:r>
            <w:rPr>
              <w:rStyle w:val="63"/>
              <w:rFonts w:asciiTheme="minorEastAsia" w:hAnsiTheme="minorEastAsia" w:eastAsiaTheme="minorEastAsia"/>
              <w:sz w:val="21"/>
              <w:szCs w:val="21"/>
            </w:rPr>
            <w:t>3.2.2加强环境事件风险评价和信息库建设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"_Toc116110902" </w:instrText>
          </w:r>
          <w:r>
            <w:fldChar w:fldCharType="separate"/>
          </w:r>
          <w:r>
            <w:rPr>
              <w:rStyle w:val="63"/>
              <w:rFonts w:asciiTheme="minorEastAsia" w:hAnsiTheme="minorEastAsia" w:eastAsiaTheme="minorEastAsia"/>
              <w:sz w:val="21"/>
              <w:szCs w:val="21"/>
            </w:rPr>
            <w:t>3.3</w:t>
          </w:r>
          <w:r>
            <w:rPr>
              <w:rStyle w:val="63"/>
              <w:rFonts w:cs="宋体" w:asciiTheme="minorEastAsia" w:hAnsiTheme="minorEastAsia" w:eastAsiaTheme="minorEastAsia"/>
              <w:sz w:val="21"/>
              <w:szCs w:val="21"/>
            </w:rPr>
            <w:t>预警行动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"_Toc116110903" </w:instrText>
          </w:r>
          <w:r>
            <w:fldChar w:fldCharType="separate"/>
          </w:r>
          <w:r>
            <w:rPr>
              <w:rStyle w:val="63"/>
              <w:rFonts w:asciiTheme="minorEastAsia" w:hAnsiTheme="minorEastAsia" w:eastAsiaTheme="minorEastAsia"/>
              <w:sz w:val="21"/>
              <w:szCs w:val="21"/>
            </w:rPr>
            <w:t>3.3.1预警分级</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"_Toc116110904" </w:instrText>
          </w:r>
          <w:r>
            <w:fldChar w:fldCharType="separate"/>
          </w:r>
          <w:r>
            <w:rPr>
              <w:rStyle w:val="63"/>
              <w:rFonts w:asciiTheme="minorEastAsia" w:hAnsiTheme="minorEastAsia" w:eastAsiaTheme="minorEastAsia"/>
              <w:sz w:val="21"/>
              <w:szCs w:val="21"/>
            </w:rPr>
            <w:t>3.3.2建立警戒区</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"_Toc116110905" </w:instrText>
          </w:r>
          <w:r>
            <w:fldChar w:fldCharType="separate"/>
          </w:r>
          <w:r>
            <w:rPr>
              <w:rStyle w:val="63"/>
              <w:rFonts w:asciiTheme="minorEastAsia" w:hAnsiTheme="minorEastAsia" w:eastAsiaTheme="minorEastAsia"/>
              <w:sz w:val="21"/>
              <w:szCs w:val="21"/>
            </w:rPr>
            <w:t>3.3.3预警发布与解除</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"_Toc116110906" </w:instrText>
          </w:r>
          <w:r>
            <w:fldChar w:fldCharType="separate"/>
          </w:r>
          <w:r>
            <w:rPr>
              <w:rStyle w:val="63"/>
              <w:rFonts w:asciiTheme="minorEastAsia" w:hAnsiTheme="minorEastAsia" w:eastAsiaTheme="minorEastAsia"/>
              <w:sz w:val="21"/>
              <w:szCs w:val="21"/>
            </w:rPr>
            <w:t>3.3.4预警措施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"_Toc116110907" </w:instrText>
          </w:r>
          <w:r>
            <w:fldChar w:fldCharType="separate"/>
          </w:r>
          <w:r>
            <w:rPr>
              <w:rStyle w:val="63"/>
              <w:rFonts w:asciiTheme="minorEastAsia" w:hAnsiTheme="minorEastAsia" w:eastAsiaTheme="minorEastAsia"/>
              <w:sz w:val="21"/>
              <w:szCs w:val="21"/>
            </w:rPr>
            <w:t>3.4预防工作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"_Toc116110908" </w:instrText>
          </w:r>
          <w:r>
            <w:fldChar w:fldCharType="separate"/>
          </w:r>
          <w:r>
            <w:rPr>
              <w:rStyle w:val="63"/>
              <w:rFonts w:asciiTheme="minorEastAsia" w:hAnsiTheme="minorEastAsia" w:eastAsiaTheme="minorEastAsia"/>
              <w:sz w:val="21"/>
              <w:szCs w:val="21"/>
            </w:rPr>
            <w:t>4</w:t>
          </w:r>
          <w:r>
            <w:rPr>
              <w:rStyle w:val="63"/>
              <w:rFonts w:cs="宋体" w:asciiTheme="minorEastAsia" w:hAnsiTheme="minorEastAsia" w:eastAsiaTheme="minorEastAsia"/>
              <w:sz w:val="21"/>
              <w:szCs w:val="21"/>
            </w:rPr>
            <w:t>信息报告、上报、通报</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"_Toc116110909" </w:instrText>
          </w:r>
          <w:r>
            <w:fldChar w:fldCharType="separate"/>
          </w:r>
          <w:r>
            <w:rPr>
              <w:rStyle w:val="63"/>
              <w:rFonts w:asciiTheme="minorEastAsia" w:hAnsiTheme="minorEastAsia" w:eastAsiaTheme="minorEastAsia"/>
              <w:sz w:val="21"/>
              <w:szCs w:val="21"/>
            </w:rPr>
            <w:t>4.1</w:t>
          </w:r>
          <w:r>
            <w:rPr>
              <w:rStyle w:val="63"/>
              <w:rFonts w:cs="宋体" w:asciiTheme="minorEastAsia" w:hAnsiTheme="minorEastAsia" w:eastAsiaTheme="minorEastAsia"/>
              <w:sz w:val="21"/>
              <w:szCs w:val="21"/>
            </w:rPr>
            <w:t>信息报告</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_Toc116110909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29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"_Toc116110910" </w:instrText>
          </w:r>
          <w:r>
            <w:fldChar w:fldCharType="separate"/>
          </w:r>
          <w:r>
            <w:rPr>
              <w:rStyle w:val="63"/>
              <w:rFonts w:asciiTheme="minorEastAsia" w:hAnsiTheme="minorEastAsia" w:eastAsiaTheme="minorEastAsia"/>
              <w:sz w:val="21"/>
              <w:szCs w:val="21"/>
            </w:rPr>
            <w:t>4.2上报</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"_Toc116110911" </w:instrText>
          </w:r>
          <w:r>
            <w:fldChar w:fldCharType="separate"/>
          </w:r>
          <w:r>
            <w:rPr>
              <w:rStyle w:val="63"/>
              <w:rFonts w:asciiTheme="minorEastAsia" w:hAnsiTheme="minorEastAsia" w:eastAsiaTheme="minorEastAsia"/>
              <w:sz w:val="21"/>
              <w:szCs w:val="21"/>
            </w:rPr>
            <w:t>4.2.1信息报送内容</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"_Toc116110912" </w:instrText>
          </w:r>
          <w:r>
            <w:fldChar w:fldCharType="separate"/>
          </w:r>
          <w:r>
            <w:rPr>
              <w:rStyle w:val="63"/>
              <w:rFonts w:asciiTheme="minorEastAsia" w:hAnsiTheme="minorEastAsia" w:eastAsiaTheme="minorEastAsia"/>
              <w:sz w:val="21"/>
              <w:szCs w:val="21"/>
            </w:rPr>
            <w:t>4.2.2信息报送程序和时限</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"_Toc116110913" </w:instrText>
          </w:r>
          <w:r>
            <w:fldChar w:fldCharType="separate"/>
          </w:r>
          <w:r>
            <w:rPr>
              <w:rStyle w:val="63"/>
              <w:rFonts w:asciiTheme="minorEastAsia" w:hAnsiTheme="minorEastAsia" w:eastAsiaTheme="minorEastAsia"/>
              <w:sz w:val="21"/>
              <w:szCs w:val="21"/>
            </w:rPr>
            <w:t>4.2.3信息报送形式</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"_Toc116110914" </w:instrText>
          </w:r>
          <w:r>
            <w:fldChar w:fldCharType="separate"/>
          </w:r>
          <w:r>
            <w:rPr>
              <w:rStyle w:val="63"/>
              <w:rFonts w:asciiTheme="minorEastAsia" w:hAnsiTheme="minorEastAsia" w:eastAsiaTheme="minorEastAsia"/>
              <w:sz w:val="21"/>
              <w:szCs w:val="21"/>
            </w:rPr>
            <w:t>4.3信息通报</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"_Toc116110915" </w:instrText>
          </w:r>
          <w:r>
            <w:fldChar w:fldCharType="separate"/>
          </w:r>
          <w:r>
            <w:rPr>
              <w:rStyle w:val="63"/>
              <w:rFonts w:asciiTheme="minorEastAsia" w:hAnsiTheme="minorEastAsia" w:eastAsiaTheme="minorEastAsia"/>
              <w:sz w:val="21"/>
              <w:szCs w:val="21"/>
            </w:rPr>
            <w:t>4.4特殊情况的信息处理</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"_Toc116110916" </w:instrText>
          </w:r>
          <w:r>
            <w:fldChar w:fldCharType="separate"/>
          </w:r>
          <w:r>
            <w:rPr>
              <w:rStyle w:val="63"/>
              <w:rFonts w:asciiTheme="minorEastAsia" w:hAnsiTheme="minorEastAsia" w:eastAsiaTheme="minorEastAsia"/>
              <w:sz w:val="21"/>
              <w:szCs w:val="21"/>
            </w:rPr>
            <w:t>5应急响应与救援措施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"_Toc116110917" </w:instrText>
          </w:r>
          <w:r>
            <w:fldChar w:fldCharType="separate"/>
          </w:r>
          <w:r>
            <w:rPr>
              <w:rStyle w:val="63"/>
              <w:rFonts w:asciiTheme="minorEastAsia" w:hAnsiTheme="minorEastAsia" w:eastAsiaTheme="minorEastAsia"/>
              <w:sz w:val="21"/>
              <w:szCs w:val="21"/>
            </w:rPr>
            <w:t>5.1分级响应机制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"_Toc116110918" </w:instrText>
          </w:r>
          <w:r>
            <w:fldChar w:fldCharType="separate"/>
          </w:r>
          <w:r>
            <w:rPr>
              <w:rStyle w:val="63"/>
              <w:rFonts w:asciiTheme="minorEastAsia" w:hAnsiTheme="minorEastAsia" w:eastAsiaTheme="minorEastAsia"/>
              <w:sz w:val="21"/>
              <w:szCs w:val="21"/>
            </w:rPr>
            <w:t>5.1.1应急响应分级</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"_Toc116110919" </w:instrText>
          </w:r>
          <w:r>
            <w:fldChar w:fldCharType="separate"/>
          </w:r>
          <w:r>
            <w:rPr>
              <w:rStyle w:val="63"/>
              <w:rFonts w:asciiTheme="minorEastAsia" w:hAnsiTheme="minorEastAsia" w:eastAsiaTheme="minorEastAsia"/>
              <w:sz w:val="21"/>
              <w:szCs w:val="21"/>
            </w:rPr>
            <w:t>5.1.2响应流程</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_Toc116110919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"_Toc116110920" </w:instrText>
          </w:r>
          <w:r>
            <w:fldChar w:fldCharType="separate"/>
          </w:r>
          <w:r>
            <w:rPr>
              <w:rStyle w:val="63"/>
              <w:rFonts w:asciiTheme="minorEastAsia" w:hAnsiTheme="minorEastAsia" w:eastAsiaTheme="minorEastAsia"/>
              <w:sz w:val="21"/>
              <w:szCs w:val="21"/>
            </w:rPr>
            <w:t>5.1.3环境应急现场指挥部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"_Toc116110921" </w:instrText>
          </w:r>
          <w:r>
            <w:fldChar w:fldCharType="separate"/>
          </w:r>
          <w:r>
            <w:rPr>
              <w:rStyle w:val="63"/>
              <w:rFonts w:asciiTheme="minorEastAsia" w:hAnsiTheme="minorEastAsia" w:eastAsiaTheme="minorEastAsia"/>
              <w:sz w:val="21"/>
              <w:szCs w:val="21"/>
            </w:rPr>
            <w:t>5.2应急响应程序</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"_Toc116110922" </w:instrText>
          </w:r>
          <w:r>
            <w:fldChar w:fldCharType="separate"/>
          </w:r>
          <w:r>
            <w:rPr>
              <w:rStyle w:val="63"/>
              <w:rFonts w:asciiTheme="minorEastAsia" w:hAnsiTheme="minorEastAsia" w:eastAsiaTheme="minorEastAsia"/>
              <w:sz w:val="21"/>
              <w:szCs w:val="21"/>
            </w:rPr>
            <w:t>5.2.1企业内部响应</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"_Toc116110923" </w:instrText>
          </w:r>
          <w:r>
            <w:fldChar w:fldCharType="separate"/>
          </w:r>
          <w:r>
            <w:rPr>
              <w:rStyle w:val="63"/>
              <w:rFonts w:asciiTheme="minorEastAsia" w:hAnsiTheme="minorEastAsia" w:eastAsiaTheme="minorEastAsia"/>
              <w:sz w:val="21"/>
              <w:szCs w:val="21"/>
            </w:rPr>
            <w:t>5.2.2园区内部响应</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37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"_Toc116110924" </w:instrText>
          </w:r>
          <w:r>
            <w:fldChar w:fldCharType="separate"/>
          </w:r>
          <w:r>
            <w:rPr>
              <w:rStyle w:val="63"/>
              <w:rFonts w:asciiTheme="minorEastAsia" w:hAnsiTheme="minorEastAsia" w:eastAsiaTheme="minorEastAsia"/>
              <w:sz w:val="21"/>
              <w:szCs w:val="21"/>
            </w:rPr>
            <w:t>5.2.3园区外部响应</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"_Toc116110925" </w:instrText>
          </w:r>
          <w:r>
            <w:fldChar w:fldCharType="separate"/>
          </w:r>
          <w:r>
            <w:rPr>
              <w:rStyle w:val="63"/>
              <w:rFonts w:asciiTheme="minorEastAsia" w:hAnsiTheme="minorEastAsia" w:eastAsiaTheme="minorEastAsia"/>
              <w:sz w:val="21"/>
              <w:szCs w:val="21"/>
            </w:rPr>
            <w:t>5.3现场处理</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"_Toc116110926" </w:instrText>
          </w:r>
          <w:r>
            <w:fldChar w:fldCharType="separate"/>
          </w:r>
          <w:r>
            <w:rPr>
              <w:rStyle w:val="63"/>
              <w:rFonts w:asciiTheme="minorEastAsia" w:hAnsiTheme="minorEastAsia" w:eastAsiaTheme="minorEastAsia"/>
              <w:sz w:val="21"/>
              <w:szCs w:val="21"/>
            </w:rPr>
            <w:t>5.3.1现场应急救援的优先原则</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"_Toc116110927" </w:instrText>
          </w:r>
          <w:r>
            <w:fldChar w:fldCharType="separate"/>
          </w:r>
          <w:r>
            <w:rPr>
              <w:rStyle w:val="63"/>
              <w:rFonts w:asciiTheme="minorEastAsia" w:hAnsiTheme="minorEastAsia" w:eastAsiaTheme="minorEastAsia"/>
              <w:sz w:val="21"/>
              <w:szCs w:val="21"/>
            </w:rPr>
            <w:t>5.3.2水环境污染事件现场处置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"_Toc116110928" </w:instrText>
          </w:r>
          <w:r>
            <w:fldChar w:fldCharType="separate"/>
          </w:r>
          <w:r>
            <w:rPr>
              <w:rStyle w:val="63"/>
              <w:rFonts w:asciiTheme="minorEastAsia" w:hAnsiTheme="minorEastAsia" w:eastAsiaTheme="minorEastAsia"/>
              <w:sz w:val="21"/>
              <w:szCs w:val="21"/>
            </w:rPr>
            <w:t>5.3.3有毒气体扩散事件现场处置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"_Toc116110929" </w:instrText>
          </w:r>
          <w:r>
            <w:fldChar w:fldCharType="separate"/>
          </w:r>
          <w:r>
            <w:rPr>
              <w:rStyle w:val="63"/>
              <w:rFonts w:asciiTheme="minorEastAsia" w:hAnsiTheme="minorEastAsia" w:eastAsiaTheme="minorEastAsia"/>
              <w:sz w:val="21"/>
              <w:szCs w:val="21"/>
            </w:rPr>
            <w:t>5.3.4管线溢油事件现场处置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_Toc116110929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"_Toc116110930" </w:instrText>
          </w:r>
          <w:r>
            <w:fldChar w:fldCharType="separate"/>
          </w:r>
          <w:r>
            <w:rPr>
              <w:rStyle w:val="63"/>
              <w:rFonts w:asciiTheme="minorEastAsia" w:hAnsiTheme="minorEastAsia" w:eastAsiaTheme="minorEastAsia"/>
              <w:sz w:val="21"/>
              <w:szCs w:val="21"/>
            </w:rPr>
            <w:t>5.3.5火灾事故现场处置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"_Toc116110931" </w:instrText>
          </w:r>
          <w:r>
            <w:fldChar w:fldCharType="separate"/>
          </w:r>
          <w:r>
            <w:rPr>
              <w:rStyle w:val="63"/>
              <w:rFonts w:asciiTheme="minorEastAsia" w:hAnsiTheme="minorEastAsia" w:eastAsiaTheme="minorEastAsia"/>
              <w:sz w:val="21"/>
              <w:szCs w:val="21"/>
            </w:rPr>
            <w:t>5.3.6受伤人员现场救护、救治与医院救治</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48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"_Toc116110932" </w:instrText>
          </w:r>
          <w:r>
            <w:fldChar w:fldCharType="separate"/>
          </w:r>
          <w:r>
            <w:rPr>
              <w:rStyle w:val="63"/>
              <w:rFonts w:asciiTheme="minorEastAsia" w:hAnsiTheme="minorEastAsia" w:eastAsiaTheme="minorEastAsia"/>
              <w:sz w:val="21"/>
              <w:szCs w:val="21"/>
            </w:rPr>
            <w:t>5.3.7应急救援人员和相关人员临时安置措施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"_Toc116110933" </w:instrText>
          </w:r>
          <w:r>
            <w:fldChar w:fldCharType="separate"/>
          </w:r>
          <w:r>
            <w:rPr>
              <w:rStyle w:val="63"/>
              <w:rFonts w:asciiTheme="minorEastAsia" w:hAnsiTheme="minorEastAsia" w:eastAsiaTheme="minorEastAsia"/>
              <w:sz w:val="21"/>
              <w:szCs w:val="21"/>
            </w:rPr>
            <w:t>5.3.8危险区、安全区的设定</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"_Toc116110934" </w:instrText>
          </w:r>
          <w:r>
            <w:fldChar w:fldCharType="separate"/>
          </w:r>
          <w:r>
            <w:rPr>
              <w:rStyle w:val="63"/>
              <w:rFonts w:asciiTheme="minorEastAsia" w:hAnsiTheme="minorEastAsia" w:eastAsiaTheme="minorEastAsia"/>
              <w:sz w:val="21"/>
              <w:szCs w:val="21"/>
            </w:rPr>
            <w:t>5.3.9应急救援措施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"_Toc116110935" </w:instrText>
          </w:r>
          <w:r>
            <w:fldChar w:fldCharType="separate"/>
          </w:r>
          <w:r>
            <w:rPr>
              <w:rStyle w:val="63"/>
              <w:rFonts w:asciiTheme="minorEastAsia" w:hAnsiTheme="minorEastAsia" w:eastAsiaTheme="minorEastAsia"/>
              <w:sz w:val="21"/>
              <w:szCs w:val="21"/>
            </w:rPr>
            <w:t>5.4应急监测</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"_Toc116110936" </w:instrText>
          </w:r>
          <w:r>
            <w:fldChar w:fldCharType="separate"/>
          </w:r>
          <w:r>
            <w:rPr>
              <w:rStyle w:val="63"/>
              <w:rFonts w:asciiTheme="minorEastAsia" w:hAnsiTheme="minorEastAsia" w:eastAsiaTheme="minorEastAsia"/>
              <w:sz w:val="21"/>
              <w:szCs w:val="21"/>
            </w:rPr>
            <w:t>5.4.1应急监测方案原则及要求</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"_Toc116110937" </w:instrText>
          </w:r>
          <w:r>
            <w:fldChar w:fldCharType="separate"/>
          </w:r>
          <w:r>
            <w:rPr>
              <w:rStyle w:val="63"/>
              <w:rFonts w:asciiTheme="minorEastAsia" w:hAnsiTheme="minorEastAsia" w:eastAsiaTheme="minorEastAsia"/>
              <w:sz w:val="21"/>
              <w:szCs w:val="21"/>
            </w:rPr>
            <w:t>5.4.2点位布设、采样及样品的预处理</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"_Toc116110938" </w:instrText>
          </w:r>
          <w:r>
            <w:fldChar w:fldCharType="separate"/>
          </w:r>
          <w:r>
            <w:rPr>
              <w:rStyle w:val="63"/>
              <w:rFonts w:asciiTheme="minorEastAsia" w:hAnsiTheme="minorEastAsia" w:eastAsiaTheme="minorEastAsia"/>
              <w:sz w:val="21"/>
              <w:szCs w:val="21"/>
            </w:rPr>
            <w:t>5.4.3应急监测方案</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"_Toc116110939" </w:instrText>
          </w:r>
          <w:r>
            <w:fldChar w:fldCharType="separate"/>
          </w:r>
          <w:r>
            <w:rPr>
              <w:rStyle w:val="63"/>
              <w:rFonts w:asciiTheme="minorEastAsia" w:hAnsiTheme="minorEastAsia" w:eastAsiaTheme="minorEastAsia"/>
              <w:sz w:val="21"/>
              <w:szCs w:val="21"/>
            </w:rPr>
            <w:t>5.4.4实验室仪器与器材</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_Toc116110939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"_Toc116110940" </w:instrText>
          </w:r>
          <w:r>
            <w:fldChar w:fldCharType="separate"/>
          </w:r>
          <w:r>
            <w:rPr>
              <w:rStyle w:val="63"/>
              <w:rFonts w:asciiTheme="minorEastAsia" w:hAnsiTheme="minorEastAsia" w:eastAsiaTheme="minorEastAsia"/>
              <w:sz w:val="21"/>
              <w:szCs w:val="21"/>
            </w:rPr>
            <w:t>5.4.5监测人员的安全防护措施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"_Toc116110941" </w:instrText>
          </w:r>
          <w:r>
            <w:fldChar w:fldCharType="separate"/>
          </w:r>
          <w:r>
            <w:rPr>
              <w:rStyle w:val="63"/>
              <w:rFonts w:asciiTheme="minorEastAsia" w:hAnsiTheme="minorEastAsia" w:eastAsiaTheme="minorEastAsia"/>
              <w:sz w:val="21"/>
              <w:szCs w:val="21"/>
            </w:rPr>
            <w:t>5.5信息发布</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"_Toc116110942" </w:instrText>
          </w:r>
          <w:r>
            <w:fldChar w:fldCharType="separate"/>
          </w:r>
          <w:r>
            <w:rPr>
              <w:rStyle w:val="63"/>
              <w:rFonts w:asciiTheme="minorEastAsia" w:hAnsiTheme="minorEastAsia" w:eastAsiaTheme="minorEastAsia"/>
              <w:sz w:val="21"/>
              <w:szCs w:val="21"/>
            </w:rPr>
            <w:t>5.6应急终止</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"_Toc116110943" </w:instrText>
          </w:r>
          <w:r>
            <w:fldChar w:fldCharType="separate"/>
          </w:r>
          <w:r>
            <w:rPr>
              <w:rStyle w:val="63"/>
              <w:rFonts w:asciiTheme="minorEastAsia" w:hAnsiTheme="minorEastAsia" w:eastAsiaTheme="minorEastAsia"/>
              <w:sz w:val="21"/>
              <w:szCs w:val="21"/>
            </w:rPr>
            <w:t>5.6.1应急终止的条件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"_Toc116110944" </w:instrText>
          </w:r>
          <w:r>
            <w:fldChar w:fldCharType="separate"/>
          </w:r>
          <w:r>
            <w:rPr>
              <w:rStyle w:val="63"/>
              <w:rFonts w:asciiTheme="minorEastAsia" w:hAnsiTheme="minorEastAsia" w:eastAsiaTheme="minorEastAsia"/>
              <w:sz w:val="21"/>
              <w:szCs w:val="21"/>
            </w:rPr>
            <w:t>5.6.2应急终止的程序</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59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"_Toc116110945" </w:instrText>
          </w:r>
          <w:r>
            <w:fldChar w:fldCharType="separate"/>
          </w:r>
          <w:r>
            <w:rPr>
              <w:rStyle w:val="63"/>
              <w:rFonts w:asciiTheme="minorEastAsia" w:hAnsiTheme="minorEastAsia" w:eastAsiaTheme="minorEastAsia"/>
              <w:sz w:val="21"/>
              <w:szCs w:val="21"/>
            </w:rPr>
            <w:t>5.6.3应急终止跟踪监测和评估方案</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"_Toc116110946" </w:instrText>
          </w:r>
          <w:r>
            <w:fldChar w:fldCharType="separate"/>
          </w:r>
          <w:r>
            <w:rPr>
              <w:rStyle w:val="63"/>
              <w:rFonts w:asciiTheme="minorEastAsia" w:hAnsiTheme="minorEastAsia" w:eastAsiaTheme="minorEastAsia"/>
              <w:sz w:val="21"/>
              <w:szCs w:val="21"/>
            </w:rPr>
            <w:t>5.7应急终止后的行动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"_Toc116110947" </w:instrText>
          </w:r>
          <w:r>
            <w:fldChar w:fldCharType="separate"/>
          </w:r>
          <w:r>
            <w:rPr>
              <w:rStyle w:val="63"/>
              <w:rFonts w:asciiTheme="minorEastAsia" w:hAnsiTheme="minorEastAsia" w:eastAsiaTheme="minorEastAsia"/>
              <w:sz w:val="21"/>
              <w:szCs w:val="21"/>
            </w:rPr>
            <w:t>5.7.1危险解除</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"_Toc116110948" </w:instrText>
          </w:r>
          <w:r>
            <w:fldChar w:fldCharType="separate"/>
          </w:r>
          <w:r>
            <w:rPr>
              <w:rStyle w:val="63"/>
              <w:rFonts w:asciiTheme="minorEastAsia" w:hAnsiTheme="minorEastAsia" w:eastAsiaTheme="minorEastAsia"/>
              <w:sz w:val="21"/>
              <w:szCs w:val="21"/>
            </w:rPr>
            <w:t>5.7.2现场洗消</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"_Toc116110949" </w:instrText>
          </w:r>
          <w:r>
            <w:fldChar w:fldCharType="separate"/>
          </w:r>
          <w:r>
            <w:rPr>
              <w:rStyle w:val="63"/>
              <w:rFonts w:asciiTheme="minorEastAsia" w:hAnsiTheme="minorEastAsia" w:eastAsiaTheme="minorEastAsia"/>
              <w:sz w:val="21"/>
              <w:szCs w:val="21"/>
            </w:rPr>
            <w:t>5.7.3事故上报、移交</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_Toc116110949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"_Toc116110950" </w:instrText>
          </w:r>
          <w:r>
            <w:fldChar w:fldCharType="separate"/>
          </w:r>
          <w:r>
            <w:rPr>
              <w:rStyle w:val="63"/>
              <w:rFonts w:asciiTheme="minorEastAsia" w:hAnsiTheme="minorEastAsia" w:eastAsiaTheme="minorEastAsia"/>
              <w:sz w:val="21"/>
              <w:szCs w:val="21"/>
            </w:rPr>
            <w:t>5.7.4事故调查与责任认定</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"_Toc116110951" </w:instrText>
          </w:r>
          <w:r>
            <w:fldChar w:fldCharType="separate"/>
          </w:r>
          <w:r>
            <w:rPr>
              <w:rStyle w:val="63"/>
              <w:rFonts w:asciiTheme="minorEastAsia" w:hAnsiTheme="minorEastAsia" w:eastAsiaTheme="minorEastAsia"/>
              <w:sz w:val="21"/>
              <w:szCs w:val="21"/>
            </w:rPr>
            <w:t>5.7.5应急总结</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"_Toc116110952" </w:instrText>
          </w:r>
          <w:r>
            <w:fldChar w:fldCharType="separate"/>
          </w:r>
          <w:r>
            <w:rPr>
              <w:rStyle w:val="63"/>
              <w:rFonts w:asciiTheme="minorEastAsia" w:hAnsiTheme="minorEastAsia" w:eastAsiaTheme="minorEastAsia"/>
              <w:sz w:val="21"/>
              <w:szCs w:val="21"/>
            </w:rPr>
            <w:t>5.7.6应急维护、保养</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"_Toc116110953" </w:instrText>
          </w:r>
          <w:r>
            <w:fldChar w:fldCharType="separate"/>
          </w:r>
          <w:r>
            <w:rPr>
              <w:rStyle w:val="63"/>
              <w:rFonts w:asciiTheme="minorEastAsia" w:hAnsiTheme="minorEastAsia" w:eastAsiaTheme="minorEastAsia"/>
              <w:sz w:val="21"/>
              <w:szCs w:val="21"/>
            </w:rPr>
            <w:t>5.7.7应急预案修订</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"_Toc116110954" </w:instrText>
          </w:r>
          <w:r>
            <w:fldChar w:fldCharType="separate"/>
          </w:r>
          <w:r>
            <w:rPr>
              <w:rStyle w:val="63"/>
              <w:rFonts w:asciiTheme="minorEastAsia" w:hAnsiTheme="minorEastAsia" w:eastAsiaTheme="minorEastAsia"/>
              <w:sz w:val="21"/>
              <w:szCs w:val="21"/>
            </w:rPr>
            <w:t>6后期处置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"_Toc116110955" </w:instrText>
          </w:r>
          <w:r>
            <w:fldChar w:fldCharType="separate"/>
          </w:r>
          <w:r>
            <w:rPr>
              <w:rStyle w:val="63"/>
              <w:rFonts w:asciiTheme="minorEastAsia" w:hAnsiTheme="minorEastAsia" w:eastAsiaTheme="minorEastAsia"/>
              <w:sz w:val="21"/>
              <w:szCs w:val="21"/>
            </w:rPr>
            <w:t>6.1调查评估</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"_Toc116110956" </w:instrText>
          </w:r>
          <w:r>
            <w:fldChar w:fldCharType="separate"/>
          </w:r>
          <w:r>
            <w:rPr>
              <w:rStyle w:val="63"/>
              <w:rFonts w:asciiTheme="minorEastAsia" w:hAnsiTheme="minorEastAsia" w:eastAsiaTheme="minorEastAsia"/>
              <w:sz w:val="21"/>
              <w:szCs w:val="21"/>
            </w:rPr>
            <w:t>6.2责任追究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"_Toc116110957" </w:instrText>
          </w:r>
          <w:r>
            <w:fldChar w:fldCharType="separate"/>
          </w:r>
          <w:r>
            <w:rPr>
              <w:rStyle w:val="63"/>
              <w:rFonts w:asciiTheme="minorEastAsia" w:hAnsiTheme="minorEastAsia" w:eastAsiaTheme="minorEastAsia"/>
              <w:sz w:val="21"/>
              <w:szCs w:val="21"/>
            </w:rPr>
            <w:t>6.3善后处置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"_Toc116110958" </w:instrText>
          </w:r>
          <w:r>
            <w:fldChar w:fldCharType="separate"/>
          </w:r>
          <w:r>
            <w:rPr>
              <w:rStyle w:val="63"/>
              <w:rFonts w:asciiTheme="minorEastAsia" w:hAnsiTheme="minorEastAsia" w:eastAsiaTheme="minorEastAsia"/>
              <w:sz w:val="21"/>
              <w:szCs w:val="21"/>
            </w:rPr>
            <w:t>6.3.1人员安置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"_Toc116110959" </w:instrText>
          </w:r>
          <w:r>
            <w:fldChar w:fldCharType="separate"/>
          </w:r>
          <w:r>
            <w:rPr>
              <w:rStyle w:val="63"/>
              <w:rFonts w:asciiTheme="minorEastAsia" w:hAnsiTheme="minorEastAsia" w:eastAsiaTheme="minorEastAsia"/>
              <w:sz w:val="21"/>
              <w:szCs w:val="21"/>
            </w:rPr>
            <w:t>6.3.2事故损失核算与补偿工作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_Toc116110959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"_Toc116110960" </w:instrText>
          </w:r>
          <w:r>
            <w:fldChar w:fldCharType="separate"/>
          </w:r>
          <w:r>
            <w:rPr>
              <w:rStyle w:val="63"/>
              <w:rFonts w:asciiTheme="minorEastAsia" w:hAnsiTheme="minorEastAsia" w:eastAsiaTheme="minorEastAsia"/>
              <w:sz w:val="21"/>
              <w:szCs w:val="21"/>
            </w:rPr>
            <w:t>6.3.3长期环境影响评估</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"_Toc116110961" </w:instrText>
          </w:r>
          <w:r>
            <w:fldChar w:fldCharType="separate"/>
          </w:r>
          <w:r>
            <w:rPr>
              <w:rStyle w:val="63"/>
              <w:rFonts w:asciiTheme="minorEastAsia" w:hAnsiTheme="minorEastAsia" w:eastAsiaTheme="minorEastAsia"/>
              <w:sz w:val="21"/>
              <w:szCs w:val="21"/>
            </w:rPr>
            <w:t>6.3.4生态环境补偿工作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"_Toc116110962" </w:instrText>
          </w:r>
          <w:r>
            <w:fldChar w:fldCharType="separate"/>
          </w:r>
          <w:r>
            <w:rPr>
              <w:rStyle w:val="63"/>
              <w:rFonts w:asciiTheme="minorEastAsia" w:hAnsiTheme="minorEastAsia" w:eastAsiaTheme="minorEastAsia"/>
              <w:sz w:val="21"/>
              <w:szCs w:val="21"/>
            </w:rPr>
            <w:t>6.3.5现场清洁净化和环境恢复</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"_Toc116110963" </w:instrText>
          </w:r>
          <w:r>
            <w:fldChar w:fldCharType="separate"/>
          </w:r>
          <w:r>
            <w:rPr>
              <w:rStyle w:val="63"/>
              <w:rFonts w:asciiTheme="minorEastAsia" w:hAnsiTheme="minorEastAsia" w:eastAsiaTheme="minorEastAsia"/>
              <w:sz w:val="21"/>
              <w:szCs w:val="21"/>
            </w:rPr>
            <w:t>6.4恢复重建</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"_Toc116110964" </w:instrText>
          </w:r>
          <w:r>
            <w:fldChar w:fldCharType="separate"/>
          </w:r>
          <w:r>
            <w:rPr>
              <w:rStyle w:val="63"/>
              <w:rFonts w:asciiTheme="minorEastAsia" w:hAnsiTheme="minorEastAsia" w:eastAsiaTheme="minorEastAsia"/>
              <w:sz w:val="21"/>
              <w:szCs w:val="21"/>
            </w:rPr>
            <w:t>7应急保障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"_Toc116110965" </w:instrText>
          </w:r>
          <w:r>
            <w:fldChar w:fldCharType="separate"/>
          </w:r>
          <w:r>
            <w:rPr>
              <w:rStyle w:val="63"/>
              <w:rFonts w:asciiTheme="minorEastAsia" w:hAnsiTheme="minorEastAsia" w:eastAsiaTheme="minorEastAsia"/>
              <w:sz w:val="21"/>
              <w:szCs w:val="21"/>
            </w:rPr>
            <w:t>7.1通信保障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"_Toc116110966" </w:instrText>
          </w:r>
          <w:r>
            <w:fldChar w:fldCharType="separate"/>
          </w:r>
          <w:r>
            <w:rPr>
              <w:rStyle w:val="63"/>
              <w:rFonts w:asciiTheme="minorEastAsia" w:hAnsiTheme="minorEastAsia" w:eastAsiaTheme="minorEastAsia"/>
              <w:sz w:val="21"/>
              <w:szCs w:val="21"/>
            </w:rPr>
            <w:t>7.2应急队伍保障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"_Toc116110967" </w:instrText>
          </w:r>
          <w:r>
            <w:fldChar w:fldCharType="separate"/>
          </w:r>
          <w:r>
            <w:rPr>
              <w:rStyle w:val="63"/>
              <w:rFonts w:asciiTheme="minorEastAsia" w:hAnsiTheme="minorEastAsia" w:eastAsiaTheme="minorEastAsia"/>
              <w:sz w:val="21"/>
              <w:szCs w:val="21"/>
            </w:rPr>
            <w:t>7.2.1企业应急队伍保障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"_Toc116110968" </w:instrText>
          </w:r>
          <w:r>
            <w:fldChar w:fldCharType="separate"/>
          </w:r>
          <w:r>
            <w:rPr>
              <w:rStyle w:val="63"/>
              <w:rFonts w:asciiTheme="minorEastAsia" w:hAnsiTheme="minorEastAsia" w:eastAsiaTheme="minorEastAsia"/>
              <w:sz w:val="21"/>
              <w:szCs w:val="21"/>
            </w:rPr>
            <w:t>7.2.2高新区应急队伍保障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"_Toc116110969" </w:instrText>
          </w:r>
          <w:r>
            <w:fldChar w:fldCharType="separate"/>
          </w:r>
          <w:r>
            <w:rPr>
              <w:rStyle w:val="63"/>
              <w:rFonts w:asciiTheme="minorEastAsia" w:hAnsiTheme="minorEastAsia" w:eastAsiaTheme="minorEastAsia"/>
              <w:sz w:val="21"/>
              <w:szCs w:val="21"/>
            </w:rPr>
            <w:t>7.2.3依托应急队伍保障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_Toc116110969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"_Toc116110970" </w:instrText>
          </w:r>
          <w:r>
            <w:fldChar w:fldCharType="separate"/>
          </w:r>
          <w:r>
            <w:rPr>
              <w:rStyle w:val="63"/>
              <w:rFonts w:asciiTheme="minorEastAsia" w:hAnsiTheme="minorEastAsia" w:eastAsiaTheme="minorEastAsia"/>
              <w:sz w:val="21"/>
              <w:szCs w:val="21"/>
            </w:rPr>
            <w:t>7.3应急物资保障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"_Toc116110971" </w:instrText>
          </w:r>
          <w:r>
            <w:fldChar w:fldCharType="separate"/>
          </w:r>
          <w:r>
            <w:rPr>
              <w:rStyle w:val="63"/>
              <w:rFonts w:asciiTheme="minorEastAsia" w:hAnsiTheme="minorEastAsia" w:eastAsiaTheme="minorEastAsia"/>
              <w:sz w:val="21"/>
              <w:szCs w:val="21"/>
            </w:rPr>
            <w:t>7.3.1企业应急装备保障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"_Toc116110972" </w:instrText>
          </w:r>
          <w:r>
            <w:fldChar w:fldCharType="separate"/>
          </w:r>
          <w:r>
            <w:rPr>
              <w:rStyle w:val="63"/>
              <w:rFonts w:asciiTheme="minorEastAsia" w:hAnsiTheme="minorEastAsia" w:eastAsiaTheme="minorEastAsia"/>
              <w:sz w:val="21"/>
              <w:szCs w:val="21"/>
            </w:rPr>
            <w:t>7.3.2高新区应急装备保障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"_Toc116110973" </w:instrText>
          </w:r>
          <w:r>
            <w:fldChar w:fldCharType="separate"/>
          </w:r>
          <w:r>
            <w:rPr>
              <w:rStyle w:val="63"/>
              <w:rFonts w:asciiTheme="minorEastAsia" w:hAnsiTheme="minorEastAsia" w:eastAsiaTheme="minorEastAsia"/>
              <w:sz w:val="21"/>
              <w:szCs w:val="21"/>
            </w:rPr>
            <w:t>7.3.3依托应急物资保障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"_Toc116110974" </w:instrText>
          </w:r>
          <w:r>
            <w:fldChar w:fldCharType="separate"/>
          </w:r>
          <w:r>
            <w:rPr>
              <w:rStyle w:val="63"/>
              <w:rFonts w:asciiTheme="minorEastAsia" w:hAnsiTheme="minorEastAsia" w:eastAsiaTheme="minorEastAsia"/>
              <w:sz w:val="21"/>
              <w:szCs w:val="21"/>
            </w:rPr>
            <w:t>7.4宣传、培训与演练</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"_Toc116110975" </w:instrText>
          </w:r>
          <w:r>
            <w:fldChar w:fldCharType="separate"/>
          </w:r>
          <w:r>
            <w:rPr>
              <w:rStyle w:val="63"/>
              <w:rFonts w:asciiTheme="minorEastAsia" w:hAnsiTheme="minorEastAsia" w:eastAsiaTheme="minorEastAsia"/>
              <w:sz w:val="21"/>
              <w:szCs w:val="21"/>
            </w:rPr>
            <w:t>7.5交通运输保障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"_Toc116110976" </w:instrText>
          </w:r>
          <w:r>
            <w:fldChar w:fldCharType="separate"/>
          </w:r>
          <w:r>
            <w:rPr>
              <w:rStyle w:val="63"/>
              <w:rFonts w:asciiTheme="minorEastAsia" w:hAnsiTheme="minorEastAsia" w:eastAsiaTheme="minorEastAsia"/>
              <w:sz w:val="21"/>
              <w:szCs w:val="21"/>
            </w:rPr>
            <w:t>7.6治安保障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69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"_Toc116110977" </w:instrText>
          </w:r>
          <w:r>
            <w:fldChar w:fldCharType="separate"/>
          </w:r>
          <w:r>
            <w:rPr>
              <w:rStyle w:val="63"/>
              <w:rFonts w:asciiTheme="minorEastAsia" w:hAnsiTheme="minorEastAsia" w:eastAsiaTheme="minorEastAsia"/>
              <w:sz w:val="21"/>
              <w:szCs w:val="21"/>
            </w:rPr>
            <w:t>7.7技术保障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"_Toc116110978" </w:instrText>
          </w:r>
          <w:r>
            <w:fldChar w:fldCharType="separate"/>
          </w:r>
          <w:r>
            <w:rPr>
              <w:rStyle w:val="63"/>
              <w:rFonts w:asciiTheme="minorEastAsia" w:hAnsiTheme="minorEastAsia" w:eastAsiaTheme="minorEastAsia"/>
              <w:sz w:val="21"/>
              <w:szCs w:val="21"/>
            </w:rPr>
            <w:t>7.8经费保障</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"_Toc116110979" </w:instrText>
          </w:r>
          <w:r>
            <w:fldChar w:fldCharType="separate"/>
          </w:r>
          <w:r>
            <w:rPr>
              <w:rStyle w:val="63"/>
              <w:rFonts w:asciiTheme="minorEastAsia" w:hAnsiTheme="minorEastAsia" w:eastAsiaTheme="minorEastAsia"/>
              <w:sz w:val="21"/>
              <w:szCs w:val="21"/>
            </w:rPr>
            <w:t>7.9保险</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_Toc116110979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"_Toc116110980" </w:instrText>
          </w:r>
          <w:r>
            <w:fldChar w:fldCharType="separate"/>
          </w:r>
          <w:r>
            <w:rPr>
              <w:rStyle w:val="63"/>
              <w:rFonts w:asciiTheme="minorEastAsia" w:hAnsiTheme="minorEastAsia" w:eastAsiaTheme="minorEastAsia"/>
              <w:sz w:val="21"/>
              <w:szCs w:val="21"/>
            </w:rPr>
            <w:t>8应急培训和演练</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"_Toc116110981" </w:instrText>
          </w:r>
          <w:r>
            <w:fldChar w:fldCharType="separate"/>
          </w:r>
          <w:r>
            <w:rPr>
              <w:rStyle w:val="63"/>
              <w:rFonts w:asciiTheme="minorEastAsia" w:hAnsiTheme="minorEastAsia" w:eastAsiaTheme="minorEastAsia"/>
              <w:sz w:val="21"/>
              <w:szCs w:val="21"/>
            </w:rPr>
            <w:t>8.1应急培训计划</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"_Toc116110982" </w:instrText>
          </w:r>
          <w:r>
            <w:fldChar w:fldCharType="separate"/>
          </w:r>
          <w:r>
            <w:rPr>
              <w:rStyle w:val="63"/>
              <w:rFonts w:asciiTheme="minorEastAsia" w:hAnsiTheme="minorEastAsia" w:eastAsiaTheme="minorEastAsia"/>
              <w:sz w:val="21"/>
              <w:szCs w:val="21"/>
            </w:rPr>
            <w:t>8.1.1应急救援指挥部成员的培训</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"_Toc116110983" </w:instrText>
          </w:r>
          <w:r>
            <w:fldChar w:fldCharType="separate"/>
          </w:r>
          <w:r>
            <w:rPr>
              <w:rStyle w:val="63"/>
              <w:rFonts w:asciiTheme="minorEastAsia" w:hAnsiTheme="minorEastAsia" w:eastAsiaTheme="minorEastAsia"/>
              <w:sz w:val="21"/>
              <w:szCs w:val="21"/>
            </w:rPr>
            <w:t>8.1.2企业应急救援人员的培训</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"_Toc116110984" </w:instrText>
          </w:r>
          <w:r>
            <w:fldChar w:fldCharType="separate"/>
          </w:r>
          <w:r>
            <w:rPr>
              <w:rStyle w:val="63"/>
              <w:rFonts w:asciiTheme="minorEastAsia" w:hAnsiTheme="minorEastAsia" w:eastAsiaTheme="minorEastAsia"/>
              <w:sz w:val="21"/>
              <w:szCs w:val="21"/>
            </w:rPr>
            <w:t>8.1.3外部公众应急响应的培训</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"_Toc116110985" </w:instrText>
          </w:r>
          <w:r>
            <w:fldChar w:fldCharType="separate"/>
          </w:r>
          <w:r>
            <w:rPr>
              <w:rStyle w:val="63"/>
              <w:rFonts w:asciiTheme="minorEastAsia" w:hAnsiTheme="minorEastAsia" w:eastAsiaTheme="minorEastAsia"/>
              <w:sz w:val="21"/>
              <w:szCs w:val="21"/>
            </w:rPr>
            <w:t>8.2应急演练计划</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"_Toc116110986" </w:instrText>
          </w:r>
          <w:r>
            <w:fldChar w:fldCharType="separate"/>
          </w:r>
          <w:r>
            <w:rPr>
              <w:rStyle w:val="63"/>
              <w:rFonts w:asciiTheme="minorEastAsia" w:hAnsiTheme="minorEastAsia" w:eastAsiaTheme="minorEastAsia"/>
              <w:sz w:val="21"/>
              <w:szCs w:val="21"/>
            </w:rPr>
            <w:t>8.2.1演练要求</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"_Toc116110987" </w:instrText>
          </w:r>
          <w:r>
            <w:fldChar w:fldCharType="separate"/>
          </w:r>
          <w:r>
            <w:rPr>
              <w:rStyle w:val="63"/>
              <w:rFonts w:asciiTheme="minorEastAsia" w:hAnsiTheme="minorEastAsia" w:eastAsiaTheme="minorEastAsia"/>
              <w:sz w:val="21"/>
              <w:szCs w:val="21"/>
            </w:rPr>
            <w:t>8.2.2演练对象和目的</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"_Toc116110988" </w:instrText>
          </w:r>
          <w:r>
            <w:fldChar w:fldCharType="separate"/>
          </w:r>
          <w:r>
            <w:rPr>
              <w:rStyle w:val="63"/>
              <w:rFonts w:asciiTheme="minorEastAsia" w:hAnsiTheme="minorEastAsia" w:eastAsiaTheme="minorEastAsia"/>
              <w:sz w:val="21"/>
              <w:szCs w:val="21"/>
            </w:rPr>
            <w:t>8.2.3演练准备内容</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"_Toc116110989" </w:instrText>
          </w:r>
          <w:r>
            <w:fldChar w:fldCharType="separate"/>
          </w:r>
          <w:r>
            <w:rPr>
              <w:rStyle w:val="63"/>
              <w:rFonts w:asciiTheme="minorEastAsia" w:hAnsiTheme="minorEastAsia" w:eastAsiaTheme="minorEastAsia"/>
              <w:sz w:val="21"/>
              <w:szCs w:val="21"/>
            </w:rPr>
            <w:t>8.2.4演练范围、组织与频次</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_Toc116110989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"_Toc116110990" </w:instrText>
          </w:r>
          <w:r>
            <w:fldChar w:fldCharType="separate"/>
          </w:r>
          <w:r>
            <w:rPr>
              <w:rStyle w:val="63"/>
              <w:rFonts w:asciiTheme="minorEastAsia" w:hAnsiTheme="minorEastAsia" w:eastAsiaTheme="minorEastAsia"/>
              <w:sz w:val="21"/>
              <w:szCs w:val="21"/>
            </w:rPr>
            <w:t>8.2.5应急演练暴露问题及解决措施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"_Toc116110991" </w:instrText>
          </w:r>
          <w:r>
            <w:fldChar w:fldCharType="separate"/>
          </w:r>
          <w:r>
            <w:rPr>
              <w:rStyle w:val="63"/>
              <w:rFonts w:asciiTheme="minorEastAsia" w:hAnsiTheme="minorEastAsia" w:eastAsiaTheme="minorEastAsia"/>
              <w:sz w:val="21"/>
              <w:szCs w:val="21"/>
            </w:rPr>
            <w:t>8.2.6应急演练的评价、总结与追踪</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"_Toc116110992" </w:instrText>
          </w:r>
          <w:r>
            <w:fldChar w:fldCharType="separate"/>
          </w:r>
          <w:r>
            <w:rPr>
              <w:rStyle w:val="63"/>
              <w:rFonts w:asciiTheme="minorEastAsia" w:hAnsiTheme="minorEastAsia" w:eastAsiaTheme="minorEastAsia"/>
              <w:sz w:val="21"/>
              <w:szCs w:val="21"/>
            </w:rPr>
            <w:t>9奖惩措施</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"_Toc116110993" </w:instrText>
          </w:r>
          <w:r>
            <w:fldChar w:fldCharType="separate"/>
          </w:r>
          <w:r>
            <w:rPr>
              <w:rStyle w:val="63"/>
              <w:rFonts w:asciiTheme="minorEastAsia" w:hAnsiTheme="minorEastAsia" w:eastAsiaTheme="minorEastAsia"/>
              <w:sz w:val="21"/>
              <w:szCs w:val="21"/>
            </w:rPr>
            <w:t>9.1奖励</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"_Toc116110994" </w:instrText>
          </w:r>
          <w:r>
            <w:fldChar w:fldCharType="separate"/>
          </w:r>
          <w:r>
            <w:rPr>
              <w:rStyle w:val="63"/>
              <w:rFonts w:asciiTheme="minorEastAsia" w:hAnsiTheme="minorEastAsia" w:eastAsiaTheme="minorEastAsia"/>
              <w:sz w:val="21"/>
              <w:szCs w:val="21"/>
            </w:rPr>
            <w:t>9.2处罚</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"_Toc116110995" </w:instrText>
          </w:r>
          <w:r>
            <w:fldChar w:fldCharType="separate"/>
          </w:r>
          <w:r>
            <w:rPr>
              <w:rStyle w:val="63"/>
              <w:rFonts w:asciiTheme="minorEastAsia" w:hAnsiTheme="minorEastAsia" w:eastAsiaTheme="minorEastAsia"/>
              <w:sz w:val="21"/>
              <w:szCs w:val="21"/>
            </w:rPr>
            <w:t>10附则</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"_Toc116110996" </w:instrText>
          </w:r>
          <w:r>
            <w:fldChar w:fldCharType="separate"/>
          </w:r>
          <w:r>
            <w:rPr>
              <w:rStyle w:val="63"/>
              <w:rFonts w:asciiTheme="minorEastAsia" w:hAnsiTheme="minorEastAsia" w:eastAsiaTheme="minorEastAsia"/>
              <w:sz w:val="21"/>
              <w:szCs w:val="21"/>
            </w:rPr>
            <w:t>10.1预案的评审、备案、发布和更新</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"_Toc116110997" </w:instrText>
          </w:r>
          <w:r>
            <w:fldChar w:fldCharType="separate"/>
          </w:r>
          <w:r>
            <w:rPr>
              <w:rStyle w:val="63"/>
              <w:rFonts w:asciiTheme="minorEastAsia" w:hAnsiTheme="minorEastAsia" w:eastAsiaTheme="minorEastAsia"/>
              <w:sz w:val="21"/>
              <w:szCs w:val="21"/>
            </w:rPr>
            <w:t>10.1.1内部评审</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"_Toc116110998" </w:instrText>
          </w:r>
          <w:r>
            <w:fldChar w:fldCharType="separate"/>
          </w:r>
          <w:r>
            <w:rPr>
              <w:rStyle w:val="63"/>
              <w:rFonts w:asciiTheme="minorEastAsia" w:hAnsiTheme="minorEastAsia" w:eastAsiaTheme="minorEastAsia"/>
              <w:sz w:val="21"/>
              <w:szCs w:val="21"/>
            </w:rPr>
            <w:t>10.1.2外部评审</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"_Toc116110999" </w:instrText>
          </w:r>
          <w:r>
            <w:fldChar w:fldCharType="separate"/>
          </w:r>
          <w:r>
            <w:rPr>
              <w:rStyle w:val="63"/>
              <w:rFonts w:asciiTheme="minorEastAsia" w:hAnsiTheme="minorEastAsia" w:eastAsiaTheme="minorEastAsia"/>
              <w:sz w:val="21"/>
              <w:szCs w:val="21"/>
            </w:rPr>
            <w:t>10.1.3发布的时间、抄送部门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_Toc116110999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"_Toc116111000" </w:instrText>
          </w:r>
          <w:r>
            <w:fldChar w:fldCharType="separate"/>
          </w:r>
          <w:r>
            <w:rPr>
              <w:rStyle w:val="63"/>
              <w:rFonts w:asciiTheme="minorEastAsia" w:hAnsiTheme="minorEastAsia" w:eastAsiaTheme="minorEastAsia"/>
              <w:sz w:val="21"/>
              <w:szCs w:val="21"/>
            </w:rPr>
            <w:t>10.1.4更新计划与及时备案</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79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25"/>
            <w:tabs>
              <w:tab w:val="right" w:leader="dot" w:pos="8302"/>
            </w:tabs>
            <w:spacing w:before="0" w:beforeLines="0" w:line="320" w:lineRule="exact"/>
            <w:ind w:left="960" w:firstLine="420"/>
            <w:rPr>
              <w:rFonts w:asciiTheme="minorEastAsia" w:hAnsiTheme="minorEastAsia" w:eastAsiaTheme="minorEastAsia" w:cstheme="minorBidi"/>
              <w:sz w:val="21"/>
              <w:szCs w:val="21"/>
            </w:rPr>
          </w:pPr>
          <w:r>
            <w:fldChar w:fldCharType="begin"/>
          </w:r>
          <w:r>
            <w:instrText xml:space="preserve"> HYPERLINK \l "_Toc116111001" </w:instrText>
          </w:r>
          <w:r>
            <w:fldChar w:fldCharType="separate"/>
          </w:r>
          <w:r>
            <w:rPr>
              <w:rStyle w:val="63"/>
              <w:rFonts w:asciiTheme="minorEastAsia" w:hAnsiTheme="minorEastAsia" w:eastAsiaTheme="minorEastAsia"/>
              <w:sz w:val="21"/>
              <w:szCs w:val="21"/>
            </w:rPr>
            <w:t>10.1.5预案的实施和生效时间</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"_Toc116111002" </w:instrText>
          </w:r>
          <w:r>
            <w:fldChar w:fldCharType="separate"/>
          </w:r>
          <w:r>
            <w:rPr>
              <w:rStyle w:val="63"/>
              <w:rFonts w:asciiTheme="minorEastAsia" w:hAnsiTheme="minorEastAsia" w:eastAsiaTheme="minorEastAsia"/>
              <w:sz w:val="21"/>
              <w:szCs w:val="21"/>
            </w:rPr>
            <w:t>10.2名词术语解释</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5"/>
            <w:tabs>
              <w:tab w:val="right" w:leader="dot" w:pos="8302"/>
            </w:tabs>
            <w:spacing w:before="0" w:beforeLines="0" w:line="320" w:lineRule="exact"/>
            <w:ind w:firstLine="420"/>
            <w:rPr>
              <w:rFonts w:asciiTheme="minorEastAsia" w:hAnsiTheme="minorEastAsia" w:eastAsiaTheme="minorEastAsia" w:cstheme="minorBidi"/>
              <w:sz w:val="21"/>
              <w:szCs w:val="21"/>
            </w:rPr>
          </w:pPr>
          <w:r>
            <w:fldChar w:fldCharType="begin"/>
          </w:r>
          <w:r>
            <w:instrText xml:space="preserve"> HYPERLINK \l "_Toc116111003" </w:instrText>
          </w:r>
          <w:r>
            <w:fldChar w:fldCharType="separate"/>
          </w:r>
          <w:r>
            <w:rPr>
              <w:rStyle w:val="63"/>
              <w:rFonts w:asciiTheme="minorEastAsia" w:hAnsiTheme="minorEastAsia" w:eastAsiaTheme="minorEastAsia"/>
              <w:sz w:val="21"/>
              <w:szCs w:val="21"/>
            </w:rPr>
            <w:t>11附件</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"_Toc116111004" </w:instrText>
          </w:r>
          <w:r>
            <w:fldChar w:fldCharType="separate"/>
          </w:r>
          <w:r>
            <w:rPr>
              <w:rStyle w:val="63"/>
              <w:rFonts w:asciiTheme="minorEastAsia" w:hAnsiTheme="minorEastAsia" w:eastAsiaTheme="minorEastAsia"/>
              <w:sz w:val="21"/>
              <w:szCs w:val="21"/>
            </w:rPr>
            <w:t>附件1高新区突发环境事件应急指挥部成员单位及职责</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"_Toc116111005" </w:instrText>
          </w:r>
          <w:r>
            <w:fldChar w:fldCharType="separate"/>
          </w:r>
          <w:r>
            <w:rPr>
              <w:rStyle w:val="63"/>
              <w:rFonts w:asciiTheme="minorEastAsia" w:hAnsiTheme="minorEastAsia" w:eastAsiaTheme="minorEastAsia"/>
              <w:sz w:val="21"/>
              <w:szCs w:val="21"/>
            </w:rPr>
            <w:t>附件2应急救援有关人员联系方式</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84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"_Toc116111006" </w:instrText>
          </w:r>
          <w:r>
            <w:fldChar w:fldCharType="separate"/>
          </w:r>
          <w:r>
            <w:rPr>
              <w:rStyle w:val="63"/>
              <w:rFonts w:asciiTheme="minorEastAsia" w:hAnsiTheme="minorEastAsia" w:eastAsiaTheme="minorEastAsia"/>
              <w:sz w:val="21"/>
              <w:szCs w:val="21"/>
            </w:rPr>
            <w:t>附件4工程应急救援协助单位应急物资清单</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91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"_Toc116111007" </w:instrText>
          </w:r>
          <w:r>
            <w:fldChar w:fldCharType="separate"/>
          </w:r>
          <w:r>
            <w:rPr>
              <w:rStyle w:val="63"/>
              <w:rFonts w:asciiTheme="minorEastAsia" w:hAnsiTheme="minorEastAsia" w:eastAsiaTheme="minorEastAsia"/>
              <w:sz w:val="21"/>
              <w:szCs w:val="21"/>
            </w:rPr>
            <w:t>附件5事故废水转运应急救援协助单位应急物资清单</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92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"_Toc116111008" </w:instrText>
          </w:r>
          <w:r>
            <w:fldChar w:fldCharType="separate"/>
          </w:r>
          <w:r>
            <w:rPr>
              <w:rStyle w:val="63"/>
              <w:rFonts w:asciiTheme="minorEastAsia" w:hAnsiTheme="minorEastAsia" w:eastAsiaTheme="minorEastAsia"/>
              <w:sz w:val="21"/>
              <w:szCs w:val="21"/>
            </w:rPr>
            <w:t>附件6突发环境应急事件报告单</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98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"_Toc116111009" </w:instrText>
          </w:r>
          <w:r>
            <w:fldChar w:fldCharType="separate"/>
          </w:r>
          <w:r>
            <w:rPr>
              <w:rStyle w:val="63"/>
              <w:rFonts w:asciiTheme="minorEastAsia" w:hAnsiTheme="minorEastAsia" w:eastAsiaTheme="minorEastAsia"/>
              <w:sz w:val="21"/>
              <w:szCs w:val="21"/>
            </w:rPr>
            <w:t>附件7抚顺高新技术产业开发区应急物资库地理位置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_Toc116111009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101</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"_Toc116111010" </w:instrText>
          </w:r>
          <w:r>
            <w:fldChar w:fldCharType="separate"/>
          </w:r>
          <w:r>
            <w:rPr>
              <w:rStyle w:val="63"/>
              <w:rFonts w:asciiTheme="minorEastAsia" w:hAnsiTheme="minorEastAsia" w:eastAsiaTheme="minorEastAsia"/>
              <w:sz w:val="21"/>
              <w:szCs w:val="21"/>
            </w:rPr>
            <w:t>附件8抚顺高新技术产业开发区地理位置图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_Toc116111010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"_Toc116111011" </w:instrText>
          </w:r>
          <w:r>
            <w:fldChar w:fldCharType="separate"/>
          </w:r>
          <w:r>
            <w:rPr>
              <w:rStyle w:val="63"/>
              <w:rFonts w:asciiTheme="minorEastAsia" w:hAnsiTheme="minorEastAsia" w:eastAsiaTheme="minorEastAsia"/>
              <w:sz w:val="21"/>
              <w:szCs w:val="21"/>
            </w:rPr>
            <w:t>附件9抚顺高新技术产业开发区功能结构分布图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_Toc116111011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103</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"_Toc116111012" </w:instrText>
          </w:r>
          <w:r>
            <w:fldChar w:fldCharType="separate"/>
          </w:r>
          <w:r>
            <w:rPr>
              <w:rStyle w:val="63"/>
              <w:rFonts w:asciiTheme="minorEastAsia" w:hAnsiTheme="minorEastAsia" w:eastAsiaTheme="minorEastAsia"/>
              <w:sz w:val="21"/>
              <w:szCs w:val="21"/>
            </w:rPr>
            <w:t>附件10抚顺高新技术产业区土地利用规划</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_Toc116111012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104</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"_Toc116111013" </w:instrText>
          </w:r>
          <w:r>
            <w:fldChar w:fldCharType="separate"/>
          </w:r>
          <w:r>
            <w:rPr>
              <w:rStyle w:val="63"/>
              <w:rFonts w:asciiTheme="minorEastAsia" w:hAnsiTheme="minorEastAsia" w:eastAsiaTheme="minorEastAsia"/>
              <w:sz w:val="21"/>
              <w:szCs w:val="21"/>
            </w:rPr>
            <w:t>附件11抚顺高新技术产业开发区产业布置局规划图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_Toc116111013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105</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"_Toc116111014" </w:instrText>
          </w:r>
          <w:r>
            <w:fldChar w:fldCharType="separate"/>
          </w:r>
          <w:r>
            <w:rPr>
              <w:rStyle w:val="63"/>
              <w:rFonts w:asciiTheme="minorEastAsia" w:hAnsiTheme="minorEastAsia" w:eastAsiaTheme="minorEastAsia"/>
              <w:sz w:val="21"/>
              <w:szCs w:val="21"/>
            </w:rPr>
            <w:t>附件12抚顺高新技术产业开发区污水排水规划图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_Toc116111014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106</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"_Toc116111015" </w:instrText>
          </w:r>
          <w:r>
            <w:fldChar w:fldCharType="separate"/>
          </w:r>
          <w:r>
            <w:rPr>
              <w:rStyle w:val="63"/>
              <w:rFonts w:asciiTheme="minorEastAsia" w:hAnsiTheme="minorEastAsia" w:eastAsiaTheme="minorEastAsia"/>
              <w:sz w:val="21"/>
              <w:szCs w:val="21"/>
            </w:rPr>
            <w:t>附件13核心区和海新工业园区企业位置示意图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_Toc116111015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107</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"_Toc116111016" </w:instrText>
          </w:r>
          <w:r>
            <w:fldChar w:fldCharType="separate"/>
          </w:r>
          <w:r>
            <w:rPr>
              <w:rStyle w:val="63"/>
              <w:rFonts w:asciiTheme="minorEastAsia" w:hAnsiTheme="minorEastAsia" w:eastAsiaTheme="minorEastAsia"/>
              <w:sz w:val="21"/>
              <w:szCs w:val="21"/>
            </w:rPr>
            <w:t>附件14兰山工业园区企业位置示意图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_Toc116111016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108</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"_Toc116111017" </w:instrText>
          </w:r>
          <w:r>
            <w:fldChar w:fldCharType="separate"/>
          </w:r>
          <w:r>
            <w:rPr>
              <w:rStyle w:val="63"/>
              <w:rFonts w:asciiTheme="minorEastAsia" w:hAnsiTheme="minorEastAsia" w:eastAsiaTheme="minorEastAsia"/>
              <w:sz w:val="21"/>
              <w:szCs w:val="21"/>
            </w:rPr>
            <w:t>附件15青草沟工业园区企业位置示意图</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_Toc116111017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109</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"_Toc116111018" </w:instrText>
          </w:r>
          <w:r>
            <w:fldChar w:fldCharType="separate"/>
          </w:r>
          <w:r>
            <w:rPr>
              <w:rStyle w:val="63"/>
              <w:rFonts w:asciiTheme="minorEastAsia" w:hAnsiTheme="minorEastAsia" w:eastAsiaTheme="minorEastAsia"/>
              <w:sz w:val="21"/>
              <w:szCs w:val="21"/>
            </w:rPr>
            <w:t>附件16应急监测协议</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_Toc116111018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110</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44"/>
            <w:tabs>
              <w:tab w:val="right" w:leader="dot" w:pos="8302"/>
            </w:tabs>
            <w:spacing w:before="0" w:beforeLines="0" w:line="320" w:lineRule="exact"/>
            <w:ind w:left="480" w:firstLine="420"/>
            <w:rPr>
              <w:rFonts w:asciiTheme="minorEastAsia" w:hAnsiTheme="minorEastAsia" w:eastAsiaTheme="minorEastAsia" w:cstheme="minorBidi"/>
              <w:sz w:val="21"/>
              <w:szCs w:val="21"/>
            </w:rPr>
          </w:pPr>
          <w:r>
            <w:fldChar w:fldCharType="begin"/>
          </w:r>
          <w:r>
            <w:instrText xml:space="preserve"> HYPERLINK \l "_Toc116111019" </w:instrText>
          </w:r>
          <w:r>
            <w:fldChar w:fldCharType="separate"/>
          </w:r>
          <w:r>
            <w:rPr>
              <w:rStyle w:val="63"/>
              <w:rFonts w:asciiTheme="minorEastAsia" w:hAnsiTheme="minorEastAsia" w:eastAsiaTheme="minorEastAsia"/>
              <w:sz w:val="21"/>
              <w:szCs w:val="21"/>
            </w:rPr>
            <w:t>附件17风险物质应急处置表</w:t>
          </w:r>
          <w:r>
            <w:rPr>
              <w:rFonts w:asciiTheme="minorEastAsia" w:hAnsiTheme="minorEastAsia" w:eastAsiaTheme="minorEastAsia"/>
              <w:sz w:val="21"/>
              <w:szCs w:val="21"/>
            </w:rPr>
            <w:tab/>
          </w:r>
          <w:r>
            <w:rPr>
              <w:rFonts w:asciiTheme="minorEastAsia" w:hAnsiTheme="minorEastAsia" w:eastAsiaTheme="minorEastAsia"/>
              <w:sz w:val="21"/>
              <w:szCs w:val="21"/>
            </w:rPr>
            <w:fldChar w:fldCharType="begin"/>
          </w:r>
          <w:r>
            <w:rPr>
              <w:rFonts w:asciiTheme="minorEastAsia" w:hAnsiTheme="minorEastAsia" w:eastAsiaTheme="minorEastAsia"/>
              <w:sz w:val="21"/>
              <w:szCs w:val="21"/>
            </w:rPr>
            <w:instrText xml:space="preserve"> PAGEREF _Toc116111019 \h </w:instrText>
          </w:r>
          <w:r>
            <w:rPr>
              <w:rFonts w:asciiTheme="minorEastAsia" w:hAnsiTheme="minorEastAsia" w:eastAsiaTheme="minorEastAsia"/>
              <w:sz w:val="21"/>
              <w:szCs w:val="21"/>
            </w:rPr>
            <w:fldChar w:fldCharType="separate"/>
          </w:r>
          <w:r>
            <w:rPr>
              <w:rFonts w:asciiTheme="minorEastAsia" w:hAnsiTheme="minorEastAsia" w:eastAsiaTheme="minorEastAsia"/>
              <w:sz w:val="21"/>
              <w:szCs w:val="21"/>
            </w:rPr>
            <w:t>112</w:t>
          </w:r>
          <w:r>
            <w:rPr>
              <w:rFonts w:asciiTheme="minorEastAsia" w:hAnsiTheme="minorEastAsia" w:eastAsiaTheme="minorEastAsia"/>
              <w:sz w:val="21"/>
              <w:szCs w:val="21"/>
            </w:rPr>
            <w:fldChar w:fldCharType="end"/>
          </w:r>
          <w:r>
            <w:rPr>
              <w:rFonts w:asciiTheme="minorEastAsia" w:hAnsiTheme="minorEastAsia" w:eastAsiaTheme="minorEastAsia"/>
              <w:sz w:val="21"/>
              <w:szCs w:val="21"/>
            </w:rPr>
            <w:fldChar w:fldCharType="end"/>
          </w:r>
        </w:p>
        <w:p>
          <w:pPr>
            <w:pStyle w:val="32"/>
            <w:tabs>
              <w:tab w:val="left" w:pos="6450"/>
              <w:tab w:val="clear" w:pos="4153"/>
              <w:tab w:val="clear" w:pos="8306"/>
            </w:tabs>
            <w:spacing w:before="0" w:beforeLines="0" w:line="320" w:lineRule="exact"/>
            <w:ind w:firstLine="420"/>
            <w:rPr>
              <w:color w:val="000000" w:themeColor="text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fldChar w:fldCharType="end"/>
          </w:r>
          <w:r>
            <w:rPr>
              <w:color w:val="000000" w:themeColor="text1"/>
              <w14:textFill>
                <w14:solidFill>
                  <w14:schemeClr w14:val="tx1"/>
                </w14:solidFill>
              </w14:textFill>
            </w:rPr>
            <w:tab/>
          </w:r>
        </w:p>
      </w:sdtContent>
    </w:sdt>
    <w:p>
      <w:pPr>
        <w:spacing w:before="156"/>
        <w:ind w:firstLine="0" w:firstLineChars="0"/>
        <w:rPr>
          <w:b/>
          <w:color w:val="000000" w:themeColor="text1"/>
          <w:sz w:val="44"/>
          <w:szCs w:val="44"/>
          <w14:textFill>
            <w14:solidFill>
              <w14:schemeClr w14:val="tx1"/>
            </w14:solidFill>
          </w14:textFill>
        </w:rPr>
      </w:pPr>
    </w:p>
    <w:p>
      <w:pPr>
        <w:spacing w:before="156"/>
        <w:ind w:firstLine="198" w:firstLineChars="71"/>
        <w:rPr>
          <w:rFonts w:eastAsia="黑体"/>
          <w:color w:val="000000" w:themeColor="text1"/>
          <w:sz w:val="28"/>
          <w:szCs w:val="28"/>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701" w:right="1797" w:bottom="1984" w:left="1797" w:header="851" w:footer="992" w:gutter="0"/>
          <w:pgNumType w:start="1"/>
          <w:cols w:space="720" w:num="1"/>
          <w:titlePg/>
          <w:docGrid w:type="lines" w:linePitch="312" w:charSpace="0"/>
        </w:sectPr>
      </w:pPr>
    </w:p>
    <w:p>
      <w:pPr>
        <w:pStyle w:val="29"/>
        <w:spacing w:before="156"/>
        <w:ind w:left="480" w:firstLine="480"/>
        <w:rPr>
          <w:color w:val="000000" w:themeColor="text1"/>
          <w14:textFill>
            <w14:solidFill>
              <w14:schemeClr w14:val="tx1"/>
            </w14:solidFill>
          </w14:textFill>
        </w:rPr>
        <w:sectPr>
          <w:footerReference r:id="rId11" w:type="default"/>
          <w:type w:val="continuous"/>
          <w:pgSz w:w="11906" w:h="16838"/>
          <w:pgMar w:top="1440" w:right="1800" w:bottom="1440" w:left="1800" w:header="851" w:footer="992" w:gutter="0"/>
          <w:pgNumType w:fmt="upperRoman"/>
          <w:cols w:space="720" w:num="1"/>
          <w:docGrid w:type="lines" w:linePitch="312" w:charSpace="0"/>
        </w:sectPr>
      </w:pPr>
    </w:p>
    <w:p>
      <w:pPr>
        <w:pStyle w:val="3"/>
        <w:spacing w:before="0"/>
        <w:ind w:left="321" w:hanging="321"/>
        <w:jc w:val="left"/>
        <w:rPr>
          <w:color w:val="000000" w:themeColor="text1"/>
          <w14:textFill>
            <w14:solidFill>
              <w14:schemeClr w14:val="tx1"/>
            </w14:solidFill>
          </w14:textFill>
        </w:rPr>
      </w:pPr>
      <w:bookmarkStart w:id="3" w:name="_Toc116110873"/>
      <w:r>
        <w:rPr>
          <w:color w:val="000000" w:themeColor="text1"/>
          <w14:textFill>
            <w14:solidFill>
              <w14:schemeClr w14:val="tx1"/>
            </w14:solidFill>
          </w14:textFill>
        </w:rPr>
        <w:t>1</w:t>
      </w:r>
      <w:r>
        <w:rPr>
          <w:rFonts w:hint="eastAsia"/>
          <w:color w:val="000000" w:themeColor="text1"/>
          <w14:textFill>
            <w14:solidFill>
              <w14:schemeClr w14:val="tx1"/>
            </w14:solidFill>
          </w14:textFill>
        </w:rPr>
        <w:t>总则</w:t>
      </w:r>
      <w:bookmarkEnd w:id="3"/>
    </w:p>
    <w:p>
      <w:pPr>
        <w:pStyle w:val="4"/>
        <w:numPr>
          <w:ilvl w:val="1"/>
          <w:numId w:val="5"/>
        </w:numPr>
        <w:spacing w:before="156"/>
        <w:ind w:firstLineChars="0"/>
        <w:rPr>
          <w:rFonts w:ascii="宋体" w:hAnsi="宋体" w:cs="宋体"/>
          <w:color w:val="000000" w:themeColor="text1"/>
          <w14:textFill>
            <w14:solidFill>
              <w14:schemeClr w14:val="tx1"/>
            </w14:solidFill>
          </w14:textFill>
        </w:rPr>
      </w:pPr>
      <w:bookmarkStart w:id="4" w:name="_Toc116110874"/>
      <w:r>
        <w:rPr>
          <w:rFonts w:hint="eastAsia" w:ascii="宋体" w:hAnsi="宋体" w:cs="宋体"/>
          <w:color w:val="000000" w:themeColor="text1"/>
          <w14:textFill>
            <w14:solidFill>
              <w14:schemeClr w14:val="tx1"/>
            </w14:solidFill>
          </w14:textFill>
        </w:rPr>
        <w:t>编制目的</w:t>
      </w:r>
      <w:bookmarkEnd w:id="4"/>
    </w:p>
    <w:p>
      <w:pPr>
        <w:pStyle w:val="87"/>
        <w:ind w:firstLine="566" w:firstLineChars="236"/>
        <w:rPr>
          <w:rFonts w:asciiTheme="minorEastAsia" w:hAnsiTheme="minorEastAsia" w:eastAsiaTheme="minorEastAsia"/>
        </w:rPr>
      </w:pPr>
      <w:r>
        <w:rPr>
          <w:rFonts w:asciiTheme="minorEastAsia" w:hAnsiTheme="minorEastAsia" w:eastAsiaTheme="minorEastAsia"/>
        </w:rPr>
        <w:t>抚顺高新技术产业开发区成立于是2006年8月25日，经省政府第62次常务会议批准设立筹建的省级园区，2010年4月，辽宁省人民政府以辽政〔2010〕112号文件《辽宁省人民政府关于抚顺、本溪、铁岭市建立省级高新技术产业开发区的批复》进行了批复，同意抚顺市建立省级高新技术产业开发区。</w:t>
      </w:r>
    </w:p>
    <w:p>
      <w:pPr>
        <w:pStyle w:val="87"/>
        <w:ind w:firstLine="566" w:firstLineChars="236"/>
        <w:rPr>
          <w:rFonts w:asciiTheme="minorEastAsia" w:hAnsiTheme="minorEastAsia" w:eastAsiaTheme="minorEastAsia"/>
        </w:rPr>
      </w:pPr>
      <w:r>
        <w:rPr>
          <w:rFonts w:hint="eastAsia" w:asciiTheme="minorEastAsia" w:hAnsiTheme="minorEastAsia" w:eastAsiaTheme="minorEastAsia"/>
        </w:rPr>
        <w:t>经过了十五年的发展</w:t>
      </w:r>
      <w:r>
        <w:rPr>
          <w:rFonts w:asciiTheme="minorEastAsia" w:hAnsiTheme="minorEastAsia" w:eastAsiaTheme="minorEastAsia"/>
        </w:rPr>
        <w:t>抚顺高新技术产业开发区内外部环境发生了一系列的变化</w:t>
      </w:r>
      <w:r>
        <w:rPr>
          <w:rFonts w:hint="eastAsia" w:asciiTheme="minorEastAsia" w:hAnsiTheme="minorEastAsia" w:eastAsiaTheme="minorEastAsia"/>
        </w:rPr>
        <w:t>。一是</w:t>
      </w:r>
      <w:r>
        <w:rPr>
          <w:rFonts w:asciiTheme="minorEastAsia" w:hAnsiTheme="minorEastAsia" w:eastAsiaTheme="minorEastAsia"/>
        </w:rPr>
        <w:t>《抚顺市城市总体规划（2011-2020）》对城市空间布局进行了结构性调整，对园区功能和布局都提出了新要求</w:t>
      </w:r>
      <w:r>
        <w:rPr>
          <w:rFonts w:hint="eastAsia" w:asciiTheme="minorEastAsia" w:hAnsiTheme="minorEastAsia" w:eastAsiaTheme="minorEastAsia"/>
        </w:rPr>
        <w:t>。要求</w:t>
      </w:r>
      <w:r>
        <w:rPr>
          <w:rFonts w:asciiTheme="minorEastAsia" w:hAnsiTheme="minorEastAsia" w:eastAsiaTheme="minorEastAsia"/>
        </w:rPr>
        <w:t>重新梳理园区与城市关系，合理、及时地调整园区的总体布局结构</w:t>
      </w:r>
      <w:r>
        <w:rPr>
          <w:rFonts w:hint="eastAsia" w:asciiTheme="minorEastAsia" w:hAnsiTheme="minorEastAsia" w:eastAsiaTheme="minorEastAsia"/>
        </w:rPr>
        <w:t>；二是</w:t>
      </w:r>
      <w:r>
        <w:rPr>
          <w:rFonts w:asciiTheme="minorEastAsia" w:hAnsiTheme="minorEastAsia" w:eastAsiaTheme="minorEastAsia"/>
        </w:rPr>
        <w:t>园区在建设和发展过程中面临着一系列待解决的实际问题。例如</w:t>
      </w:r>
      <w:r>
        <w:rPr>
          <w:rFonts w:hint="eastAsia" w:asciiTheme="minorEastAsia" w:hAnsiTheme="minorEastAsia" w:eastAsiaTheme="minorEastAsia"/>
        </w:rPr>
        <w:t>园区</w:t>
      </w:r>
      <w:r>
        <w:rPr>
          <w:rFonts w:asciiTheme="minorEastAsia" w:hAnsiTheme="minorEastAsia" w:eastAsiaTheme="minorEastAsia"/>
        </w:rPr>
        <w:t>经过发展，其用地空间逐渐趋于饱和，未来空间拓展受到了较大限制。未来</w:t>
      </w:r>
      <w:r>
        <w:rPr>
          <w:rFonts w:hint="eastAsia" w:asciiTheme="minorEastAsia" w:hAnsiTheme="minorEastAsia" w:eastAsiaTheme="minorEastAsia"/>
        </w:rPr>
        <w:t>在</w:t>
      </w:r>
      <w:r>
        <w:rPr>
          <w:rFonts w:asciiTheme="minorEastAsia" w:hAnsiTheme="minorEastAsia" w:eastAsiaTheme="minorEastAsia"/>
        </w:rPr>
        <w:t>有限土地上的功能布局至关重要。因此，规划重新审视抚顺高新技术产业开发区的土地和空间资源，制定更为集约、节约、高效的土地利用方式。</w:t>
      </w:r>
    </w:p>
    <w:p>
      <w:pPr>
        <w:spacing w:before="0" w:beforeLines="0"/>
        <w:ind w:firstLine="566" w:firstLineChars="236"/>
        <w:rPr>
          <w:rFonts w:cs="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rPr>
        <w:t>为实现园区统一规划、统一管理，满足园区未来发展需要</w:t>
      </w:r>
      <w:r>
        <w:rPr>
          <w:rFonts w:hint="eastAsia" w:asciiTheme="minorEastAsia" w:hAnsiTheme="minorEastAsia" w:eastAsiaTheme="minorEastAsia"/>
        </w:rPr>
        <w:t>，</w:t>
      </w:r>
      <w:r>
        <w:rPr>
          <w:rFonts w:asciiTheme="minorEastAsia" w:hAnsiTheme="minorEastAsia" w:eastAsiaTheme="minorEastAsia"/>
        </w:rPr>
        <w:t>指导园区工业与周边环境协调发展</w:t>
      </w:r>
      <w:r>
        <w:rPr>
          <w:rFonts w:hint="eastAsia" w:asciiTheme="minorEastAsia" w:hAnsiTheme="minorEastAsia" w:eastAsiaTheme="minorEastAsia"/>
        </w:rPr>
        <w:t>。</w:t>
      </w:r>
      <w:r>
        <w:rPr>
          <w:rFonts w:asciiTheme="minorEastAsia" w:hAnsiTheme="minorEastAsia" w:eastAsiaTheme="minorEastAsia"/>
        </w:rPr>
        <w:t>抚顺高新技术产业开发区管委会</w:t>
      </w:r>
      <w:r>
        <w:rPr>
          <w:rFonts w:hint="eastAsia" w:asciiTheme="minorEastAsia" w:hAnsiTheme="minorEastAsia" w:eastAsiaTheme="minorEastAsia"/>
        </w:rPr>
        <w:t>（以下简称“高新区管委会”）</w:t>
      </w:r>
      <w:r>
        <w:rPr>
          <w:rFonts w:asciiTheme="minorEastAsia" w:hAnsiTheme="minorEastAsia" w:eastAsiaTheme="minorEastAsia"/>
        </w:rPr>
        <w:t>委托辽宁省石油化工规划设计院有限公司和中外建华诚工程技术集团有限公司联合编制《抚顺高新技术产业开发区总体规划（2018～2030）》</w:t>
      </w:r>
      <w:r>
        <w:rPr>
          <w:rFonts w:hint="eastAsia" w:asciiTheme="minorEastAsia" w:hAnsiTheme="minorEastAsia" w:eastAsiaTheme="minorEastAsia"/>
        </w:rPr>
        <w:t>。</w:t>
      </w:r>
      <w:r>
        <w:rPr>
          <w:rFonts w:asciiTheme="minorEastAsia" w:hAnsiTheme="minorEastAsia" w:eastAsiaTheme="minorEastAsia"/>
        </w:rPr>
        <w:t>规划用地范围包括核心区、青草沟工业园区、海新工业园区和兰山工业园区及周边可扩展开发的土地，规划建设用地面积20.3平方公里。</w:t>
      </w:r>
    </w:p>
    <w:p>
      <w:pPr>
        <w:spacing w:before="0" w:beforeLines="0"/>
        <w:ind w:firstLine="480"/>
        <w:rPr>
          <w:rFonts w:asciiTheme="minorEastAsia" w:hAnsiTheme="minorEastAsia" w:eastAsiaTheme="minorEastAsia"/>
          <w:color w:val="000000"/>
          <w:shd w:val="clear" w:color="auto" w:fill="FFFFFF"/>
        </w:rPr>
      </w:pPr>
      <w:r>
        <w:rPr>
          <w:rFonts w:hint="eastAsia" w:cs="宋体" w:asciiTheme="minorEastAsia" w:hAnsiTheme="minorEastAsia" w:eastAsiaTheme="minorEastAsia"/>
          <w:color w:val="000000" w:themeColor="text1"/>
          <w14:textFill>
            <w14:solidFill>
              <w14:schemeClr w14:val="tx1"/>
            </w14:solidFill>
          </w14:textFill>
        </w:rPr>
        <w:t>为保障人民群众的身体健康和环境安全，增强</w:t>
      </w:r>
      <w:r>
        <w:rPr>
          <w:rFonts w:asciiTheme="minorEastAsia" w:hAnsiTheme="minorEastAsia" w:eastAsiaTheme="minorEastAsia"/>
        </w:rPr>
        <w:t>抚顺高新技术产业开发区</w:t>
      </w:r>
      <w:r>
        <w:rPr>
          <w:rFonts w:hint="eastAsia" w:cs="宋体" w:asciiTheme="minorEastAsia" w:hAnsiTheme="minorEastAsia" w:eastAsiaTheme="minorEastAsia"/>
          <w:color w:val="000000" w:themeColor="text1"/>
          <w14:textFill>
            <w14:solidFill>
              <w14:schemeClr w14:val="tx1"/>
            </w14:solidFill>
          </w14:textFill>
        </w:rPr>
        <w:t>突发环境事件防控能力与应急救援能力</w:t>
      </w: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shd w:val="clear" w:color="auto" w:fill="FFFFFF"/>
        </w:rPr>
        <w:t>健全突发环境事件应对工作机制，科学有序高效应对突发环境事件，保障人民群众生命财产安全和环境安全，促进社会全面、协调、可持续发展，</w:t>
      </w:r>
      <w:r>
        <w:rPr>
          <w:rFonts w:hint="eastAsia" w:asciiTheme="minorEastAsia" w:hAnsiTheme="minorEastAsia" w:eastAsiaTheme="minorEastAsia"/>
        </w:rPr>
        <w:t>高新区管委会编制本预案</w:t>
      </w:r>
      <w:r>
        <w:rPr>
          <w:rFonts w:hint="eastAsia" w:asciiTheme="minorEastAsia" w:hAnsiTheme="minorEastAsia" w:eastAsiaTheme="minorEastAsia"/>
          <w:color w:val="000000"/>
          <w:shd w:val="clear" w:color="auto" w:fill="FFFFFF"/>
        </w:rPr>
        <w:t>。</w:t>
      </w:r>
    </w:p>
    <w:p>
      <w:pPr>
        <w:spacing w:before="0" w:beforeLines="0"/>
        <w:ind w:firstLine="480"/>
        <w:rPr>
          <w:rFonts w:asciiTheme="minorEastAsia" w:hAnsiTheme="minorEastAsia" w:eastAsiaTheme="minorEastAsia"/>
        </w:rPr>
      </w:pPr>
      <w:r>
        <w:rPr>
          <w:rFonts w:hint="eastAsia" w:cs="宋体" w:asciiTheme="minorEastAsia" w:hAnsiTheme="minorEastAsia" w:eastAsiaTheme="minorEastAsia"/>
          <w:color w:val="000000" w:themeColor="text1"/>
          <w14:textFill>
            <w14:solidFill>
              <w14:schemeClr w14:val="tx1"/>
            </w14:solidFill>
          </w14:textFill>
        </w:rPr>
        <w:t>2020年高新区管委会委托</w:t>
      </w:r>
      <w:r>
        <w:rPr>
          <w:rFonts w:hint="eastAsia" w:asciiTheme="minorEastAsia" w:hAnsiTheme="minorEastAsia" w:eastAsiaTheme="minorEastAsia"/>
        </w:rPr>
        <w:t>辽宁英瑞环境科技工程有限公司分别编制抚顺高新技术产业开发区核心区（高新一区）、兰山工业园区（高新二区）、海新工业园区（高新三区）、青草沟工业园区（高新四区）等四个园区的分区突发环境事件风险应急预案；202</w:t>
      </w:r>
      <w:r>
        <w:rPr>
          <w:rFonts w:asciiTheme="minorEastAsia" w:hAnsiTheme="minorEastAsia" w:eastAsiaTheme="minorEastAsia"/>
        </w:rPr>
        <w:t>2</w:t>
      </w:r>
      <w:r>
        <w:rPr>
          <w:rFonts w:hint="eastAsia" w:asciiTheme="minorEastAsia" w:hAnsiTheme="minorEastAsia" w:eastAsiaTheme="minorEastAsia"/>
        </w:rPr>
        <w:t>年</w:t>
      </w:r>
      <w:r>
        <w:rPr>
          <w:rFonts w:hint="eastAsia" w:asciiTheme="minorEastAsia" w:hAnsiTheme="minorEastAsia" w:eastAsiaTheme="minorEastAsia"/>
          <w:lang w:val="en-US" w:eastAsia="zh-CN"/>
        </w:rPr>
        <w:t>9</w:t>
      </w:r>
      <w:r>
        <w:rPr>
          <w:rFonts w:hint="eastAsia" w:asciiTheme="minorEastAsia" w:hAnsiTheme="minorEastAsia" w:eastAsiaTheme="minorEastAsia"/>
        </w:rPr>
        <w:t>月高新区管委会</w:t>
      </w:r>
      <w:r>
        <w:rPr>
          <w:rFonts w:hint="eastAsia" w:cs="宋体" w:asciiTheme="minorEastAsia" w:hAnsiTheme="minorEastAsia" w:eastAsiaTheme="minorEastAsia"/>
          <w:bCs/>
        </w:rPr>
        <w:t>编制的《</w:t>
      </w:r>
      <w:r>
        <w:rPr>
          <w:rFonts w:hint="eastAsia" w:asciiTheme="minorEastAsia" w:hAnsiTheme="minorEastAsia" w:eastAsiaTheme="minorEastAsia"/>
        </w:rPr>
        <w:t>抚顺高新技术产业开发区抚顺市再生资源产业园（A园）突发环境应急预案》是本预案的重要组成部分。</w:t>
      </w:r>
    </w:p>
    <w:p>
      <w:pPr>
        <w:pStyle w:val="4"/>
        <w:keepNext/>
        <w:keepLines/>
        <w:pageBreakBefore w:val="0"/>
        <w:widowControl w:val="0"/>
        <w:kinsoku/>
        <w:wordWrap/>
        <w:overflowPunct/>
        <w:topLinePunct w:val="0"/>
        <w:autoSpaceDE/>
        <w:autoSpaceDN/>
        <w:bidi w:val="0"/>
        <w:adjustRightInd/>
        <w:snapToGrid/>
        <w:spacing w:before="0" w:beforeLines="0"/>
        <w:ind w:left="0" w:hanging="301"/>
        <w:textAlignment w:val="auto"/>
        <w:rPr>
          <w:bCs/>
          <w:color w:val="000000" w:themeColor="text1"/>
          <w14:textFill>
            <w14:solidFill>
              <w14:schemeClr w14:val="tx1"/>
            </w14:solidFill>
          </w14:textFill>
        </w:rPr>
      </w:pPr>
      <w:bookmarkStart w:id="5" w:name="_Toc465080406"/>
      <w:bookmarkStart w:id="6" w:name="_Toc441492694"/>
      <w:bookmarkStart w:id="7" w:name="_Toc15582"/>
      <w:bookmarkStart w:id="8" w:name="_Toc448840323"/>
      <w:bookmarkStart w:id="9" w:name="_Toc116110875"/>
      <w:r>
        <w:rPr>
          <w:bCs/>
          <w:color w:val="000000" w:themeColor="text1"/>
          <w14:textFill>
            <w14:solidFill>
              <w14:schemeClr w14:val="tx1"/>
            </w14:solidFill>
          </w14:textFill>
        </w:rPr>
        <w:t>1.2</w:t>
      </w:r>
      <w:r>
        <w:rPr>
          <w:rFonts w:hint="eastAsia" w:ascii="宋体" w:hAnsi="宋体" w:cs="宋体"/>
          <w:bCs/>
          <w:color w:val="000000" w:themeColor="text1"/>
          <w14:textFill>
            <w14:solidFill>
              <w14:schemeClr w14:val="tx1"/>
            </w14:solidFill>
          </w14:textFill>
        </w:rPr>
        <w:t>编制依据</w:t>
      </w:r>
      <w:bookmarkEnd w:id="5"/>
      <w:bookmarkEnd w:id="6"/>
      <w:bookmarkEnd w:id="7"/>
      <w:bookmarkEnd w:id="8"/>
      <w:bookmarkEnd w:id="9"/>
      <w:bookmarkStart w:id="214" w:name="_GoBack"/>
      <w:bookmarkEnd w:id="214"/>
    </w:p>
    <w:p>
      <w:pPr>
        <w:pStyle w:val="5"/>
        <w:keepNext/>
        <w:keepLines/>
        <w:pageBreakBefore w:val="0"/>
        <w:widowControl w:val="0"/>
        <w:kinsoku/>
        <w:wordWrap/>
        <w:overflowPunct/>
        <w:topLinePunct w:val="0"/>
        <w:autoSpaceDE/>
        <w:autoSpaceDN/>
        <w:bidi w:val="0"/>
        <w:adjustRightInd/>
        <w:snapToGrid/>
        <w:spacing w:before="0" w:beforeLines="0"/>
        <w:ind w:left="0" w:hanging="301"/>
        <w:textAlignment w:val="auto"/>
        <w:rPr>
          <w:color w:val="000000" w:themeColor="text1"/>
          <w:sz w:val="30"/>
          <w:szCs w:val="30"/>
          <w14:textFill>
            <w14:solidFill>
              <w14:schemeClr w14:val="tx1"/>
            </w14:solidFill>
          </w14:textFill>
        </w:rPr>
      </w:pPr>
      <w:bookmarkStart w:id="10" w:name="_Toc376435902"/>
      <w:bookmarkStart w:id="11" w:name="_Toc23861"/>
      <w:bookmarkStart w:id="12" w:name="_Toc116110876"/>
      <w:r>
        <w:rPr>
          <w:color w:val="000000" w:themeColor="text1"/>
          <w:sz w:val="30"/>
          <w:szCs w:val="30"/>
          <w14:textFill>
            <w14:solidFill>
              <w14:schemeClr w14:val="tx1"/>
            </w14:solidFill>
          </w14:textFill>
        </w:rPr>
        <w:t>1.2.1国家和地方有关环保法律、法规</w:t>
      </w:r>
      <w:bookmarkEnd w:id="10"/>
      <w:bookmarkEnd w:id="11"/>
      <w:bookmarkEnd w:id="12"/>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bookmarkStart w:id="13" w:name="_Toc31694"/>
      <w:r>
        <w:rPr>
          <w:rFonts w:hint="eastAsia" w:cs="宋体" w:asciiTheme="minorEastAsia" w:hAnsiTheme="minorEastAsia" w:eastAsiaTheme="minorEastAsia"/>
          <w:color w:val="000000" w:themeColor="text1"/>
          <w14:textFill>
            <w14:solidFill>
              <w14:schemeClr w14:val="tx1"/>
            </w14:solidFill>
          </w14:textFill>
        </w:rPr>
        <w:t>（1）《中华人民共和国环境保护法》（2015.1.1）；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（2）《中华人民共和国突发事件应对法》（20</w:t>
      </w:r>
      <w:r>
        <w:rPr>
          <w:rFonts w:cs="宋体" w:asciiTheme="minorEastAsia" w:hAnsiTheme="minorEastAsia" w:eastAsiaTheme="minorEastAsia"/>
          <w:color w:val="000000" w:themeColor="text1"/>
          <w14:textFill>
            <w14:solidFill>
              <w14:schemeClr w14:val="tx1"/>
            </w14:solidFill>
          </w14:textFill>
        </w:rPr>
        <w:t>13</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12</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7</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（3）《中华人民共和国安全生产法》（20</w:t>
      </w:r>
      <w:r>
        <w:rPr>
          <w:rFonts w:cs="宋体" w:asciiTheme="minorEastAsia" w:hAnsiTheme="minorEastAsia" w:eastAsiaTheme="minorEastAsia"/>
          <w:color w:val="000000" w:themeColor="text1"/>
          <w14:textFill>
            <w14:solidFill>
              <w14:schemeClr w14:val="tx1"/>
            </w14:solidFill>
          </w14:textFill>
        </w:rPr>
        <w:t>21</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6</w:t>
      </w:r>
      <w:r>
        <w:rPr>
          <w:rFonts w:hint="eastAsia" w:cs="宋体" w:asciiTheme="minorEastAsia" w:hAnsiTheme="minorEastAsia" w:eastAsiaTheme="minorEastAsia"/>
          <w:color w:val="000000" w:themeColor="text1"/>
          <w14:textFill>
            <w14:solidFill>
              <w14:schemeClr w14:val="tx1"/>
            </w14:solidFill>
          </w14:textFill>
        </w:rPr>
        <w:t>.1</w:t>
      </w:r>
      <w:r>
        <w:rPr>
          <w:rFonts w:cs="宋体" w:asciiTheme="minorEastAsia" w:hAnsiTheme="minorEastAsia" w:eastAsiaTheme="minorEastAsia"/>
          <w:color w:val="000000" w:themeColor="text1"/>
          <w14:textFill>
            <w14:solidFill>
              <w14:schemeClr w14:val="tx1"/>
            </w14:solidFill>
          </w14:textFill>
        </w:rPr>
        <w:t>0</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（4）《中华人民共和国消防法》（20</w:t>
      </w:r>
      <w:r>
        <w:rPr>
          <w:rFonts w:cs="宋体" w:asciiTheme="minorEastAsia" w:hAnsiTheme="minorEastAsia" w:eastAsiaTheme="minorEastAsia"/>
          <w:color w:val="000000" w:themeColor="text1"/>
          <w14:textFill>
            <w14:solidFill>
              <w14:schemeClr w14:val="tx1"/>
            </w14:solidFill>
          </w14:textFill>
        </w:rPr>
        <w:t>21</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4</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29</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（5）《危险化学品安全管理条例》（中华人民共和国国务院令第 591 号）；</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（6）《中华人民共和国大气污染防治法》（2018.10.26）；</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（7）《中华人民共和国水污染防治法》（2018.1.1）；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（8）《中华人民共和国环境噪声污染防治法》（20</w:t>
      </w:r>
      <w:r>
        <w:rPr>
          <w:rFonts w:cs="宋体" w:asciiTheme="minorEastAsia" w:hAnsiTheme="minorEastAsia" w:eastAsiaTheme="minorEastAsia"/>
          <w:color w:val="000000" w:themeColor="text1"/>
          <w14:textFill>
            <w14:solidFill>
              <w14:schemeClr w14:val="tx1"/>
            </w14:solidFill>
          </w14:textFill>
        </w:rPr>
        <w:t>22</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6</w:t>
      </w:r>
      <w:r>
        <w:rPr>
          <w:rFonts w:hint="eastAsia" w:cs="宋体" w:asciiTheme="minorEastAsia" w:hAnsiTheme="minorEastAsia" w:eastAsiaTheme="minorEastAsia"/>
          <w:color w:val="000000" w:themeColor="text1"/>
          <w14:textFill>
            <w14:solidFill>
              <w14:schemeClr w14:val="tx1"/>
            </w14:solidFill>
          </w14:textFill>
        </w:rPr>
        <w:t>.</w:t>
      </w:r>
      <w:r>
        <w:rPr>
          <w:rFonts w:cs="宋体" w:asciiTheme="minorEastAsia" w:hAnsiTheme="minorEastAsia" w:eastAsiaTheme="minorEastAsia"/>
          <w:color w:val="000000" w:themeColor="text1"/>
          <w14:textFill>
            <w14:solidFill>
              <w14:schemeClr w14:val="tx1"/>
            </w14:solidFill>
          </w14:textFill>
        </w:rPr>
        <w:t>5</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（9）《中华人民共和国土壤污染防治法》（2019.1.1）；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（10）《中华人民共和国固体废物污染环境防治法》（2020.9.1）；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（11）《国务院关于加强环境保护重点工作的意见》（国发[2011]35号）；</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（12）《危险化学品重大危险源监督管理暂行规定》（201</w:t>
      </w:r>
      <w:r>
        <w:rPr>
          <w:rFonts w:cs="宋体" w:asciiTheme="minorEastAsia" w:hAnsiTheme="minorEastAsia" w:eastAsiaTheme="minorEastAsia"/>
          <w:color w:val="000000" w:themeColor="text1"/>
          <w14:textFill>
            <w14:solidFill>
              <w14:schemeClr w14:val="tx1"/>
            </w14:solidFill>
          </w14:textFill>
        </w:rPr>
        <w:t>5.5.27</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（13）《突发环境事件应急管理办法》（环保部第34号令，2015年6月5日起施行）；</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（14）《企业事业单位突发环境事件应急预案备案管理办法（试行）》（环发〔2015〕4 号）；</w:t>
      </w:r>
    </w:p>
    <w:p>
      <w:pPr>
        <w:pStyle w:val="87"/>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（15）</w:t>
      </w:r>
      <w:r>
        <w:rPr>
          <w:rFonts w:asciiTheme="minorEastAsia" w:hAnsiTheme="minorEastAsia" w:eastAsiaTheme="minorEastAsia"/>
        </w:rPr>
        <w:t>《“生态保护红线、环境质量底线、资源利用上线和环境准入负面清单”编制技术指南（试行）》（环境保护部2017年12月）</w:t>
      </w:r>
      <w:r>
        <w:rPr>
          <w:rFonts w:hint="eastAsia" w:cs="宋体" w:asciiTheme="minorEastAsia" w:hAnsiTheme="minorEastAsia" w:eastAsiaTheme="minorEastAsia"/>
          <w:color w:val="000000" w:themeColor="text1"/>
          <w14:textFill>
            <w14:solidFill>
              <w14:schemeClr w14:val="tx1"/>
            </w14:solidFill>
          </w14:textFill>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（16）《辽宁省企事业单位突发环境事件应急预案管理暂行办法》（辽环发[2013]53号）；</w:t>
      </w:r>
    </w:p>
    <w:p>
      <w:pPr>
        <w:pStyle w:val="2"/>
        <w:spacing w:before="0" w:beforeLines="0" w:after="0"/>
        <w:ind w:firstLine="480"/>
        <w:rPr>
          <w:rFonts w:asciiTheme="minorEastAsia" w:hAnsiTheme="minorEastAsia" w:eastAsiaTheme="minorEastAsia"/>
        </w:rPr>
      </w:pPr>
      <w:r>
        <w:rPr>
          <w:rFonts w:hint="eastAsia" w:asciiTheme="minorEastAsia" w:hAnsiTheme="minorEastAsia" w:eastAsiaTheme="minorEastAsia"/>
        </w:rPr>
        <w:t>（17）《关于进一步加强环境影响评价管理防范环境风险的通知》（环发）[2012]77 号）；</w:t>
      </w:r>
    </w:p>
    <w:p>
      <w:pPr>
        <w:pStyle w:val="87"/>
        <w:rPr>
          <w:rFonts w:asciiTheme="minorEastAsia" w:hAnsiTheme="minorEastAsia" w:eastAsiaTheme="minorEastAsia"/>
        </w:rPr>
      </w:pPr>
      <w:r>
        <w:rPr>
          <w:rFonts w:hint="eastAsia" w:asciiTheme="minorEastAsia" w:hAnsiTheme="minorEastAsia" w:eastAsiaTheme="minorEastAsia"/>
        </w:rPr>
        <w:t>（18）</w:t>
      </w:r>
      <w:r>
        <w:rPr>
          <w:rFonts w:asciiTheme="minorEastAsia" w:hAnsiTheme="minorEastAsia" w:eastAsiaTheme="minorEastAsia"/>
        </w:rPr>
        <w:t>《辽宁省人民政府办公厅关于印发辽宁省化工园区和危险化学品企业安全与环保隐患排查整治工作方案的通知》（辽政办发[2020]18号）；</w:t>
      </w:r>
    </w:p>
    <w:p>
      <w:pPr>
        <w:pStyle w:val="87"/>
        <w:rPr>
          <w:rFonts w:asciiTheme="minorEastAsia" w:hAnsiTheme="minorEastAsia" w:eastAsiaTheme="minorEastAsia"/>
        </w:rPr>
      </w:pPr>
      <w:r>
        <w:rPr>
          <w:rFonts w:hint="eastAsia" w:asciiTheme="minorEastAsia" w:hAnsiTheme="minorEastAsia" w:eastAsiaTheme="minorEastAsia"/>
        </w:rPr>
        <w:t>（19）</w:t>
      </w:r>
      <w:r>
        <w:rPr>
          <w:rFonts w:asciiTheme="minorEastAsia" w:hAnsiTheme="minorEastAsia" w:eastAsiaTheme="minorEastAsia"/>
        </w:rPr>
        <w:t>《辽宁省生态环境厅关于印发辽宁省危险废物专项整治三年行动实施方案的通知》（辽环综函〔2020〕539号）；</w:t>
      </w:r>
    </w:p>
    <w:p>
      <w:pPr>
        <w:pStyle w:val="87"/>
        <w:rPr>
          <w:rFonts w:asciiTheme="minorEastAsia" w:hAnsiTheme="minorEastAsia" w:eastAsiaTheme="minorEastAsia"/>
        </w:rPr>
      </w:pPr>
      <w:r>
        <w:rPr>
          <w:rFonts w:hint="eastAsia" w:asciiTheme="minorEastAsia" w:hAnsiTheme="minorEastAsia" w:eastAsiaTheme="minorEastAsia"/>
        </w:rPr>
        <w:t>（20）</w:t>
      </w:r>
      <w:r>
        <w:rPr>
          <w:rFonts w:asciiTheme="minorEastAsia" w:hAnsiTheme="minorEastAsia" w:eastAsiaTheme="minorEastAsia"/>
        </w:rPr>
        <w:t>《关于加强全省化工产业园区生态环境管理工作的通知》（辽环综函〔2020〕506号）；</w:t>
      </w:r>
    </w:p>
    <w:p>
      <w:pPr>
        <w:pStyle w:val="87"/>
        <w:rPr>
          <w:rFonts w:asciiTheme="minorEastAsia" w:hAnsiTheme="minorEastAsia" w:eastAsiaTheme="minorEastAsia"/>
        </w:rPr>
      </w:pPr>
      <w:r>
        <w:rPr>
          <w:rFonts w:hint="eastAsia" w:asciiTheme="minorEastAsia" w:hAnsiTheme="minorEastAsia" w:eastAsiaTheme="minorEastAsia"/>
        </w:rPr>
        <w:t>（21）</w:t>
      </w:r>
      <w:r>
        <w:rPr>
          <w:rFonts w:asciiTheme="minorEastAsia" w:hAnsiTheme="minorEastAsia" w:eastAsiaTheme="minorEastAsia"/>
        </w:rPr>
        <w:t>《关于全面加强危险化学品安全生产工作的实施意见》（厅秘发[2020]39号）；</w:t>
      </w:r>
    </w:p>
    <w:p>
      <w:pPr>
        <w:pStyle w:val="2"/>
        <w:spacing w:before="0" w:beforeLines="0" w:after="0"/>
        <w:ind w:firstLine="480"/>
        <w:rPr>
          <w:rFonts w:cs="宋体"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（22）</w:t>
      </w:r>
      <w:r>
        <w:rPr>
          <w:rFonts w:hint="eastAsia" w:cs="宋体" w:asciiTheme="minorEastAsia" w:hAnsiTheme="minorEastAsia" w:eastAsiaTheme="minorEastAsia"/>
          <w:color w:val="000000" w:themeColor="text1"/>
          <w14:textFill>
            <w14:solidFill>
              <w14:schemeClr w14:val="tx1"/>
            </w14:solidFill>
          </w14:textFill>
        </w:rPr>
        <w:t>《辽宁省环境保护条例》（2021年）；</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（23）《抚顺市突发环境应急预案》（2020年）；</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（24）《抚顺市东洲区突发环境应急预案》（2020年）。</w:t>
      </w:r>
    </w:p>
    <w:p>
      <w:pPr>
        <w:pStyle w:val="5"/>
        <w:spacing w:before="163"/>
        <w:ind w:left="301" w:hanging="301"/>
        <w:rPr>
          <w:color w:val="000000" w:themeColor="text1"/>
          <w:sz w:val="30"/>
          <w:szCs w:val="30"/>
          <w14:textFill>
            <w14:solidFill>
              <w14:schemeClr w14:val="tx1"/>
            </w14:solidFill>
          </w14:textFill>
        </w:rPr>
      </w:pPr>
      <w:bookmarkStart w:id="14" w:name="_Toc116110877"/>
      <w:r>
        <w:rPr>
          <w:color w:val="000000" w:themeColor="text1"/>
          <w:sz w:val="30"/>
          <w:szCs w:val="30"/>
          <w14:textFill>
            <w14:solidFill>
              <w14:schemeClr w14:val="tx1"/>
            </w14:solidFill>
          </w14:textFill>
        </w:rPr>
        <w:t>1.2.2标准规范</w:t>
      </w:r>
      <w:bookmarkEnd w:id="13"/>
      <w:bookmarkEnd w:id="14"/>
    </w:p>
    <w:p>
      <w:pPr>
        <w:numPr>
          <w:ilvl w:val="0"/>
          <w:numId w:val="6"/>
        </w:numPr>
        <w:spacing w:before="0" w:beforeLines="0"/>
        <w:ind w:firstLine="480"/>
        <w:rPr>
          <w:rFonts w:ascii="宋体" w:hAnsi="宋体" w:cs="宋体"/>
          <w:color w:val="000000" w:themeColor="text1"/>
          <w14:textFill>
            <w14:solidFill>
              <w14:schemeClr w14:val="tx1"/>
            </w14:solidFill>
          </w14:textFill>
        </w:rPr>
      </w:pPr>
      <w:bookmarkStart w:id="15" w:name="_Toc3097"/>
      <w:r>
        <w:rPr>
          <w:rFonts w:hint="eastAsia" w:ascii="宋体" w:hAnsi="宋体" w:cs="宋体"/>
          <w:color w:val="000000" w:themeColor="text1"/>
          <w14:textFill>
            <w14:solidFill>
              <w14:schemeClr w14:val="tx1"/>
            </w14:solidFill>
          </w14:textFill>
        </w:rPr>
        <w:t>《行政区域突发环境事件风险评估推荐方法》（环办应急[2018]9号）；</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《企业突发环境事件风险分级方法》（HJ 941-2018）；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《企业突发环境事件隐患排查和治理工作指南（试行）》（环公告〔2016〕74 号）；</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《危险化学品重大危险源辨识》（GB 18218—2018）；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《建设项目环境风险评价技术导则》（HJ/T169-2018）；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地下水环境》（HJ610-2016）；</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地表水环境》(HJ 2.3-2018)；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大气环境》(HJ 2.2-2018)；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土壤环境》（HJ 964-2018）；</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《事故状态下水体污染的预防和控制规范》（中国石油企业标准Q/SY 08190-2019）；</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《应急演练实施指南》（中国石油企业标准Q/SY 08652-2019）；</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《危险废物贮存污染控制标准》（GB18597-2001）（2013年修订）；</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《生态保护红线划定技术指南》（环发〔2015〕56 号）；</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《关于印发《环境应急资源调查指南（试行）》的通知》（环办应急〔2019〕17号，2019年3月1日施行）。</w:t>
      </w:r>
    </w:p>
    <w:p>
      <w:pPr>
        <w:numPr>
          <w:ilvl w:val="0"/>
          <w:numId w:val="6"/>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《全国环保部门环境应急能力建设标准》（环发〔2010〕146 号）。</w:t>
      </w:r>
    </w:p>
    <w:p>
      <w:pPr>
        <w:pStyle w:val="5"/>
        <w:spacing w:before="163"/>
        <w:ind w:left="301" w:hanging="301"/>
        <w:rPr>
          <w:color w:val="000000" w:themeColor="text1"/>
          <w:sz w:val="30"/>
          <w:szCs w:val="30"/>
          <w14:textFill>
            <w14:solidFill>
              <w14:schemeClr w14:val="tx1"/>
            </w14:solidFill>
          </w14:textFill>
        </w:rPr>
      </w:pPr>
      <w:bookmarkStart w:id="16" w:name="_Toc116110878"/>
      <w:r>
        <w:rPr>
          <w:color w:val="000000" w:themeColor="text1"/>
          <w:sz w:val="30"/>
          <w:szCs w:val="30"/>
          <w14:textFill>
            <w14:solidFill>
              <w14:schemeClr w14:val="tx1"/>
            </w14:solidFill>
          </w14:textFill>
        </w:rPr>
        <w:t>1.2.3</w:t>
      </w:r>
      <w:r>
        <w:rPr>
          <w:rFonts w:hint="eastAsia"/>
          <w:color w:val="000000" w:themeColor="text1"/>
          <w:sz w:val="30"/>
          <w:szCs w:val="30"/>
          <w14:textFill>
            <w14:solidFill>
              <w14:schemeClr w14:val="tx1"/>
            </w14:solidFill>
          </w14:textFill>
        </w:rPr>
        <w:t>其他</w:t>
      </w:r>
      <w:r>
        <w:rPr>
          <w:color w:val="000000" w:themeColor="text1"/>
          <w:sz w:val="30"/>
          <w:szCs w:val="30"/>
          <w14:textFill>
            <w14:solidFill>
              <w14:schemeClr w14:val="tx1"/>
            </w14:solidFill>
          </w14:textFill>
        </w:rPr>
        <w:t>文件</w:t>
      </w:r>
      <w:bookmarkEnd w:id="15"/>
      <w:bookmarkEnd w:id="16"/>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《抚顺高新技术产业开发区及周边总体规划（2018~2030）》</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《抚顺高新技术产业开发区总体规划（2019-2030）环境影响报告书》辽宁省环境规划院有限公司 2020.12；</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《辽宁省生态环境厅关于抚顺高新技术产业开发区及周边总体规划（2018-2030）环境影响报告书审查意见的函》（辽环函[2021]103号）；</w:t>
      </w:r>
    </w:p>
    <w:p>
      <w:pPr>
        <w:pStyle w:val="32"/>
        <w:numPr>
          <w:ilvl w:val="0"/>
          <w:numId w:val="7"/>
        </w:numPr>
        <w:spacing w:before="0" w:beforeLines="0"/>
        <w:ind w:left="57" w:firstLine="420" w:firstLineChars="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《抚顺高新技术产业开发区1#雨水池改造工程建设项目环境影响报告表》2019，8；</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《抚顺高新技术产业开发区2#雨水池改造工程建设项目环境影响报告表》2019，8；</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《抚顺市再生资源产业园（A 园）控制性详细规划环境影响报告书》沈阳建筑大学2016.10；</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《抚顺市”十三五“环境质量报告书（2016-2020）》；</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《抚顺高新技术产业开发区核心区（高新一区）突发环境事件应急预案》2020版</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《抚顺高新技术产业开发区兰山工业园区（高新二区）突发环境事件应急预案》2020版</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《抚顺高新技术产业开发区海新工业园区（高新三区）突发环境事件应急预案》2020版</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《抚顺高新技术产业开发区青草沟工业园区（高新四区）突发环境事件应急预案》2020版</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《抚顺高新技术产业开发区抚顺市再生资源产业园（A 园）突发环境事件应急预案》202</w:t>
      </w:r>
      <w:r>
        <w:rPr>
          <w:rFonts w:ascii="宋体" w:hAnsi="宋体" w:cs="宋体"/>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版</w:t>
      </w:r>
    </w:p>
    <w:p>
      <w:pPr>
        <w:numPr>
          <w:ilvl w:val="0"/>
          <w:numId w:val="7"/>
        </w:numPr>
        <w:spacing w:before="0" w:beforeLines="0"/>
        <w:ind w:left="57" w:firstLine="420" w:firstLineChars="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抚顺高新区提供的其他相关资料。</w:t>
      </w:r>
    </w:p>
    <w:p>
      <w:pPr>
        <w:pStyle w:val="4"/>
        <w:spacing w:before="156"/>
        <w:ind w:left="301" w:hanging="301"/>
        <w:rPr>
          <w:rFonts w:ascii="宋体" w:hAnsi="宋体" w:cs="宋体"/>
          <w:color w:val="000000" w:themeColor="text1"/>
          <w14:textFill>
            <w14:solidFill>
              <w14:schemeClr w14:val="tx1"/>
            </w14:solidFill>
          </w14:textFill>
        </w:rPr>
      </w:pPr>
      <w:bookmarkStart w:id="17" w:name="_Toc116110879"/>
      <w:r>
        <w:rPr>
          <w:color w:val="000000" w:themeColor="text1"/>
          <w14:textFill>
            <w14:solidFill>
              <w14:schemeClr w14:val="tx1"/>
            </w14:solidFill>
          </w14:textFill>
        </w:rPr>
        <w:t>1.3</w:t>
      </w:r>
      <w:r>
        <w:rPr>
          <w:rFonts w:hint="eastAsia" w:ascii="宋体" w:hAnsi="宋体" w:cs="宋体"/>
          <w:color w:val="000000" w:themeColor="text1"/>
          <w:szCs w:val="30"/>
          <w14:textFill>
            <w14:solidFill>
              <w14:schemeClr w14:val="tx1"/>
            </w14:solidFill>
          </w14:textFill>
        </w:rPr>
        <w:t>事件分级</w:t>
      </w:r>
      <w:bookmarkEnd w:id="17"/>
    </w:p>
    <w:p>
      <w:pPr>
        <w:pStyle w:val="29"/>
        <w:spacing w:before="0" w:beforeLines="0" w:after="0" w:line="480" w:lineRule="exact"/>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依据《国家突发环境事件应急预案》（国办函〔2014〕119 号）</w:t>
      </w:r>
      <w:r>
        <w:rPr>
          <w:rFonts w:hint="eastAsia" w:asciiTheme="minorEastAsia" w:hAnsiTheme="minorEastAsia" w:eastAsiaTheme="minorEastAsia"/>
          <w:color w:val="000000" w:themeColor="text1"/>
          <w:lang w:val="en-US" w:eastAsia="zh-CN"/>
          <w14:textFill>
            <w14:solidFill>
              <w14:schemeClr w14:val="tx1"/>
            </w14:solidFill>
          </w14:textFill>
        </w:rPr>
        <w:t>和</w:t>
      </w:r>
      <w:r>
        <w:rPr>
          <w:rFonts w:hint="eastAsia" w:asciiTheme="minorEastAsia" w:hAnsiTheme="minorEastAsia" w:eastAsiaTheme="minorEastAsia"/>
          <w:color w:val="000000" w:themeColor="text1"/>
          <w14:textFill>
            <w14:solidFill>
              <w14:schemeClr w14:val="tx1"/>
            </w14:solidFill>
          </w14:textFill>
        </w:rPr>
        <w:t>《抚顺</w:t>
      </w:r>
      <w:r>
        <w:rPr>
          <w:rFonts w:hint="eastAsia" w:asciiTheme="minorEastAsia" w:hAnsiTheme="minorEastAsia" w:eastAsiaTheme="minorEastAsia"/>
          <w:color w:val="000000" w:themeColor="text1"/>
          <w:lang w:val="en-US" w:eastAsia="zh-CN"/>
          <w14:textFill>
            <w14:solidFill>
              <w14:schemeClr w14:val="tx1"/>
            </w14:solidFill>
          </w14:textFill>
        </w:rPr>
        <w:t>市</w:t>
      </w:r>
      <w:r>
        <w:rPr>
          <w:rFonts w:hint="eastAsia" w:asciiTheme="minorEastAsia" w:hAnsiTheme="minorEastAsia" w:eastAsiaTheme="minorEastAsia"/>
          <w:color w:val="000000" w:themeColor="text1"/>
          <w14:textFill>
            <w14:solidFill>
              <w14:schemeClr w14:val="tx1"/>
            </w14:solidFill>
          </w14:textFill>
        </w:rPr>
        <w:t>突发环境应急预案》“突发环境事件分级标准”，按照园区突发事件的可能性、严重性、紧急程度和可能波及的范围、预案实施主体等，将突发环境事件分为重大（Ⅰ级）、较大（Ⅱ级）和一般（Ⅲ级）三级。根据园区发展和国家有关要求，适时对事件分级标准进行修订。</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1、重大（Ⅰ级事件）园区以上级</w:t>
      </w:r>
      <w:r>
        <w:rPr>
          <w:rFonts w:hint="eastAsia" w:asciiTheme="minorEastAsia" w:hAnsiTheme="minorEastAsia" w:eastAsiaTheme="minorEastAsia"/>
          <w:kern w:val="0"/>
        </w:rPr>
        <w:t>突发环境事件</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严重威胁园区及周围人员安全，已经或可能造成重大人员伤亡、重大财产损失或事件排放的污染物大量进入外环境，</w:t>
      </w:r>
      <w:r>
        <w:rPr>
          <w:rFonts w:hint="eastAsia" w:asciiTheme="minorEastAsia" w:hAnsiTheme="minorEastAsia" w:eastAsiaTheme="minorEastAsia"/>
          <w:bCs/>
        </w:rPr>
        <w:t>超出园区控制范围，靠园区自身力量不能控制和处理的，</w:t>
      </w:r>
      <w:r>
        <w:rPr>
          <w:rFonts w:hint="eastAsia" w:asciiTheme="minorEastAsia" w:hAnsiTheme="minorEastAsia" w:eastAsiaTheme="minorEastAsia"/>
        </w:rPr>
        <w:t>需要上级政府部门统一组织协调，调度各方面资源和力量进行应急处置的事件。</w:t>
      </w:r>
    </w:p>
    <w:p>
      <w:pPr>
        <w:spacing w:before="0" w:beforeLines="0" w:line="480" w:lineRule="exact"/>
        <w:ind w:firstLine="480"/>
        <w:rPr>
          <w:rFonts w:asciiTheme="minorEastAsia" w:hAnsiTheme="minorEastAsia" w:eastAsiaTheme="minorEastAsia"/>
          <w:kern w:val="0"/>
        </w:rPr>
      </w:pPr>
      <w:r>
        <w:rPr>
          <w:rFonts w:hint="eastAsia" w:asciiTheme="minorEastAsia" w:hAnsiTheme="minorEastAsia" w:eastAsiaTheme="minorEastAsia"/>
          <w:kern w:val="0"/>
        </w:rPr>
        <w:t>凡符合下列情形之一的，为园区以上级突发环境事件（</w:t>
      </w:r>
      <w:r>
        <w:rPr>
          <w:rFonts w:hint="eastAsia" w:asciiTheme="minorEastAsia" w:hAnsiTheme="minorEastAsia" w:eastAsiaTheme="minorEastAsia"/>
        </w:rPr>
        <w:t>Ⅰ级事件</w:t>
      </w:r>
      <w:r>
        <w:rPr>
          <w:rFonts w:hint="eastAsia" w:asciiTheme="minorEastAsia" w:hAnsiTheme="minorEastAsia" w:eastAsiaTheme="minorEastAsia"/>
          <w:kern w:val="0"/>
        </w:rPr>
        <w:t>）：</w:t>
      </w:r>
    </w:p>
    <w:p>
      <w:pPr>
        <w:adjustRightInd w:val="0"/>
        <w:snapToGrid w:val="0"/>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kern w:val="0"/>
        </w:rPr>
        <w:t>（1）园区内环境风险物质发生大量泄漏，园区内截流及收集设施未能将其截流在园区内，流入外环境污染地表水的；</w:t>
      </w:r>
    </w:p>
    <w:p>
      <w:pPr>
        <w:snapToGrid w:val="0"/>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kern w:val="0"/>
        </w:rPr>
        <w:t>（2）由于泄漏引发</w:t>
      </w:r>
      <w:r>
        <w:rPr>
          <w:rFonts w:hint="eastAsia" w:asciiTheme="minorEastAsia" w:hAnsiTheme="minorEastAsia" w:eastAsiaTheme="minorEastAsia"/>
        </w:rPr>
        <w:t>火灾、爆炸等事故的；</w:t>
      </w:r>
    </w:p>
    <w:p>
      <w:pPr>
        <w:snapToGrid w:val="0"/>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（3）在火灾、爆炸事件救援过程中带有物料的消防废水流入外环境，污染地表水的；</w:t>
      </w:r>
    </w:p>
    <w:p>
      <w:pPr>
        <w:adjustRightInd w:val="0"/>
        <w:snapToGrid w:val="0"/>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kern w:val="0"/>
        </w:rPr>
        <w:t>（4）通过自身能力不能完全处理和控制，需要依靠外部救援的；</w:t>
      </w:r>
    </w:p>
    <w:p>
      <w:pPr>
        <w:widowControl/>
        <w:adjustRightInd w:val="0"/>
        <w:snapToGrid w:val="0"/>
        <w:spacing w:before="0" w:beforeLines="0" w:line="480" w:lineRule="exact"/>
        <w:ind w:firstLine="480"/>
        <w:rPr>
          <w:rFonts w:asciiTheme="minorEastAsia" w:hAnsiTheme="minorEastAsia" w:eastAsiaTheme="minorEastAsia"/>
          <w:kern w:val="0"/>
        </w:rPr>
      </w:pPr>
      <w:r>
        <w:rPr>
          <w:rFonts w:hint="eastAsia" w:asciiTheme="minorEastAsia" w:hAnsiTheme="minorEastAsia" w:eastAsiaTheme="minorEastAsia"/>
          <w:kern w:val="0"/>
        </w:rPr>
        <w:t>（5）相关方引发园区及园区周边环境污染，对园区造成一定影响，需要园区配合的。</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2、较大（Ⅱ级事件）园区级</w:t>
      </w:r>
      <w:r>
        <w:rPr>
          <w:rFonts w:hint="eastAsia" w:asciiTheme="minorEastAsia" w:hAnsiTheme="minorEastAsia" w:eastAsiaTheme="minorEastAsia"/>
          <w:kern w:val="0"/>
        </w:rPr>
        <w:t>突发环境事件</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对园区正常生产、生活造成一定影响，但不会危及到园区外环境，凭园区内部力量可以处置的事件。</w:t>
      </w:r>
    </w:p>
    <w:p>
      <w:pPr>
        <w:spacing w:before="0" w:beforeLines="0" w:line="480" w:lineRule="exact"/>
        <w:ind w:firstLine="480"/>
        <w:rPr>
          <w:rFonts w:asciiTheme="minorEastAsia" w:hAnsiTheme="minorEastAsia" w:eastAsiaTheme="minorEastAsia"/>
          <w:kern w:val="0"/>
        </w:rPr>
      </w:pPr>
      <w:r>
        <w:rPr>
          <w:rFonts w:hint="eastAsia" w:asciiTheme="minorEastAsia" w:hAnsiTheme="minorEastAsia" w:eastAsiaTheme="minorEastAsia"/>
          <w:kern w:val="0"/>
        </w:rPr>
        <w:t>凡符合下列情形之一的，为</w:t>
      </w:r>
      <w:r>
        <w:rPr>
          <w:rFonts w:hint="eastAsia" w:asciiTheme="minorEastAsia" w:hAnsiTheme="minorEastAsia" w:eastAsiaTheme="minorEastAsia"/>
        </w:rPr>
        <w:t>较大（Ⅱ级事件）园区级</w:t>
      </w:r>
      <w:r>
        <w:rPr>
          <w:rFonts w:hint="eastAsia" w:asciiTheme="minorEastAsia" w:hAnsiTheme="minorEastAsia" w:eastAsiaTheme="minorEastAsia"/>
          <w:kern w:val="0"/>
        </w:rPr>
        <w:t>突发环境事件：</w:t>
      </w:r>
    </w:p>
    <w:p>
      <w:pPr>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rPr>
        <w:t>（1）园区企业</w:t>
      </w:r>
      <w:r>
        <w:rPr>
          <w:rFonts w:hint="eastAsia" w:asciiTheme="minorEastAsia" w:hAnsiTheme="minorEastAsia" w:eastAsiaTheme="minorEastAsia"/>
          <w:kern w:val="0"/>
        </w:rPr>
        <w:t xml:space="preserve">储罐、生产装置、库房和管道内风险物质发生泄漏，流出厂界进入园区，依靠园区截流及收集等应急处置设施和措施将泄漏的风险物质控制在园区内的； </w:t>
      </w:r>
    </w:p>
    <w:p>
      <w:pPr>
        <w:adjustRightInd w:val="0"/>
        <w:snapToGrid w:val="0"/>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rPr>
        <w:t>（2）园区内出现火警或小型火灾事件，</w:t>
      </w:r>
      <w:r>
        <w:rPr>
          <w:rFonts w:hint="eastAsia" w:asciiTheme="minorEastAsia" w:hAnsiTheme="minorEastAsia" w:eastAsiaTheme="minorEastAsia"/>
          <w:kern w:val="0"/>
        </w:rPr>
        <w:t>通过自身能力能完全处理和控制，消防废水控制在园区内；</w:t>
      </w:r>
    </w:p>
    <w:p>
      <w:pPr>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kern w:val="0"/>
        </w:rPr>
        <w:t>（3）突发其他的环境事件，依靠园区应急处置能力将突发环境事件影响范围控制在园区内的；</w:t>
      </w:r>
    </w:p>
    <w:p>
      <w:pPr>
        <w:pStyle w:val="2"/>
        <w:spacing w:before="0" w:beforeLines="0" w:after="0" w:line="480" w:lineRule="exact"/>
        <w:ind w:firstLine="480"/>
        <w:rPr>
          <w:rFonts w:asciiTheme="minorEastAsia" w:hAnsiTheme="minorEastAsia" w:eastAsiaTheme="minorEastAsia"/>
        </w:rPr>
      </w:pPr>
      <w:r>
        <w:rPr>
          <w:rFonts w:hint="eastAsia" w:asciiTheme="minorEastAsia" w:hAnsiTheme="minorEastAsia" w:eastAsiaTheme="minorEastAsia"/>
        </w:rPr>
        <w:t>（4）发布自然灾害预警需要园区响应的。</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3、</w:t>
      </w:r>
      <w:r>
        <w:rPr>
          <w:rFonts w:hint="eastAsia" w:asciiTheme="minorEastAsia" w:hAnsiTheme="minorEastAsia" w:eastAsiaTheme="minorEastAsia"/>
          <w:color w:val="000000" w:themeColor="text1"/>
          <w14:textFill>
            <w14:solidFill>
              <w14:schemeClr w14:val="tx1"/>
            </w14:solidFill>
          </w14:textFill>
        </w:rPr>
        <w:t>一般（Ⅲ级）</w:t>
      </w:r>
      <w:r>
        <w:rPr>
          <w:rFonts w:hint="eastAsia" w:asciiTheme="minorEastAsia" w:hAnsiTheme="minorEastAsia" w:eastAsiaTheme="minorEastAsia"/>
        </w:rPr>
        <w:t>园区内企业级</w:t>
      </w:r>
      <w:r>
        <w:rPr>
          <w:rFonts w:hint="eastAsia" w:asciiTheme="minorEastAsia" w:hAnsiTheme="minorEastAsia" w:eastAsiaTheme="minorEastAsia"/>
          <w:kern w:val="0"/>
        </w:rPr>
        <w:t>突发环境事件</w:t>
      </w:r>
    </w:p>
    <w:p>
      <w:pPr>
        <w:spacing w:before="0" w:beforeLines="0" w:line="480" w:lineRule="exact"/>
        <w:ind w:firstLine="480"/>
        <w:rPr>
          <w:rFonts w:asciiTheme="minorEastAsia" w:hAnsiTheme="minorEastAsia" w:eastAsiaTheme="minorEastAsia"/>
        </w:rPr>
      </w:pPr>
      <w:r>
        <w:rPr>
          <w:rFonts w:hint="eastAsia" w:asciiTheme="minorEastAsia" w:hAnsiTheme="minorEastAsia" w:eastAsiaTheme="minorEastAsia"/>
        </w:rPr>
        <w:t>对园区企业生产造成一定影响，但不会危及企业外环境，凭企业内部力量可以处置的事件。</w:t>
      </w:r>
    </w:p>
    <w:p>
      <w:pPr>
        <w:spacing w:before="0" w:beforeLines="0" w:line="480" w:lineRule="exact"/>
        <w:ind w:firstLine="480"/>
        <w:rPr>
          <w:rFonts w:asciiTheme="minorEastAsia" w:hAnsiTheme="minorEastAsia" w:eastAsiaTheme="minorEastAsia"/>
          <w:kern w:val="0"/>
        </w:rPr>
      </w:pPr>
      <w:r>
        <w:rPr>
          <w:rFonts w:hint="eastAsia" w:asciiTheme="minorEastAsia" w:hAnsiTheme="minorEastAsia" w:eastAsiaTheme="minorEastAsia"/>
          <w:kern w:val="0"/>
        </w:rPr>
        <w:t>凡符合下列情形之一的，为</w:t>
      </w:r>
      <w:r>
        <w:rPr>
          <w:rFonts w:hint="eastAsia" w:asciiTheme="minorEastAsia" w:hAnsiTheme="minorEastAsia" w:eastAsiaTheme="minorEastAsia"/>
          <w:color w:val="000000" w:themeColor="text1"/>
          <w14:textFill>
            <w14:solidFill>
              <w14:schemeClr w14:val="tx1"/>
            </w14:solidFill>
          </w14:textFill>
        </w:rPr>
        <w:t>一般（Ⅲ级）</w:t>
      </w:r>
      <w:r>
        <w:rPr>
          <w:rFonts w:hint="eastAsia" w:asciiTheme="minorEastAsia" w:hAnsiTheme="minorEastAsia" w:eastAsiaTheme="minorEastAsia"/>
        </w:rPr>
        <w:t>园区内企业级</w:t>
      </w:r>
      <w:r>
        <w:rPr>
          <w:rFonts w:hint="eastAsia" w:asciiTheme="minorEastAsia" w:hAnsiTheme="minorEastAsia" w:eastAsiaTheme="minorEastAsia"/>
          <w:kern w:val="0"/>
        </w:rPr>
        <w:t>突发环境事件：</w:t>
      </w:r>
    </w:p>
    <w:p>
      <w:pPr>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rPr>
        <w:t>（1）园区企业</w:t>
      </w:r>
      <w:r>
        <w:rPr>
          <w:rFonts w:hint="eastAsia" w:asciiTheme="minorEastAsia" w:hAnsiTheme="minorEastAsia" w:eastAsiaTheme="minorEastAsia"/>
          <w:kern w:val="0"/>
        </w:rPr>
        <w:t xml:space="preserve">储罐、生产装置、库房和管道内风险物质发生泄漏，依靠企业内部截流及收集设施等自身应急处置能力将泄漏的风险物质控制在厂区内，但需要园区关注的； </w:t>
      </w:r>
    </w:p>
    <w:p>
      <w:pPr>
        <w:adjustRightInd w:val="0"/>
        <w:snapToGrid w:val="0"/>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rPr>
        <w:t>（2）企业内出现小型火灾事件，</w:t>
      </w:r>
      <w:r>
        <w:rPr>
          <w:rFonts w:hint="eastAsia" w:asciiTheme="minorEastAsia" w:hAnsiTheme="minorEastAsia" w:eastAsiaTheme="minorEastAsia"/>
          <w:kern w:val="0"/>
        </w:rPr>
        <w:t>通过自身能力能完全处理和控制，消防废水控制在厂界内，但需要园区救援的；</w:t>
      </w:r>
    </w:p>
    <w:p>
      <w:pPr>
        <w:spacing w:before="0" w:beforeLines="0" w:line="480" w:lineRule="exact"/>
        <w:ind w:firstLine="480"/>
        <w:textAlignment w:val="baseline"/>
        <w:rPr>
          <w:rFonts w:asciiTheme="minorEastAsia" w:hAnsiTheme="minorEastAsia" w:eastAsiaTheme="minorEastAsia"/>
          <w:kern w:val="0"/>
        </w:rPr>
      </w:pPr>
      <w:r>
        <w:rPr>
          <w:rFonts w:hint="eastAsia" w:asciiTheme="minorEastAsia" w:hAnsiTheme="minorEastAsia" w:eastAsiaTheme="minorEastAsia"/>
          <w:kern w:val="0"/>
        </w:rPr>
        <w:t>（3）突发其他的环境事件，企业需要依靠园区应急处置能力进行处置的；</w:t>
      </w:r>
    </w:p>
    <w:p>
      <w:pPr>
        <w:pStyle w:val="4"/>
        <w:spacing w:before="156"/>
        <w:ind w:left="301" w:hanging="301"/>
        <w:rPr>
          <w:bCs/>
          <w:color w:val="000000" w:themeColor="text1"/>
          <w:szCs w:val="30"/>
          <w14:textFill>
            <w14:solidFill>
              <w14:schemeClr w14:val="tx1"/>
            </w14:solidFill>
          </w14:textFill>
        </w:rPr>
      </w:pPr>
      <w:bookmarkStart w:id="18" w:name="_Toc362869149"/>
      <w:bookmarkStart w:id="19" w:name="_Toc5670"/>
      <w:bookmarkStart w:id="20" w:name="_Toc441492695"/>
      <w:bookmarkStart w:id="21" w:name="_Toc116110880"/>
      <w:bookmarkStart w:id="22" w:name="_Toc448840324"/>
      <w:bookmarkStart w:id="23" w:name="_Toc465080407"/>
      <w:r>
        <w:rPr>
          <w:bCs/>
          <w:color w:val="000000" w:themeColor="text1"/>
          <w:szCs w:val="30"/>
          <w14:textFill>
            <w14:solidFill>
              <w14:schemeClr w14:val="tx1"/>
            </w14:solidFill>
          </w14:textFill>
        </w:rPr>
        <w:t>1.</w:t>
      </w:r>
      <w:r>
        <w:rPr>
          <w:rFonts w:hint="eastAsia"/>
          <w:bCs/>
          <w:color w:val="000000" w:themeColor="text1"/>
          <w:szCs w:val="30"/>
          <w14:textFill>
            <w14:solidFill>
              <w14:schemeClr w14:val="tx1"/>
            </w14:solidFill>
          </w14:textFill>
        </w:rPr>
        <w:t>4</w:t>
      </w:r>
      <w:r>
        <w:rPr>
          <w:rFonts w:hint="eastAsia" w:ascii="宋体" w:hAnsi="宋体" w:cs="宋体"/>
          <w:bCs/>
          <w:color w:val="000000" w:themeColor="text1"/>
          <w:szCs w:val="30"/>
          <w14:textFill>
            <w14:solidFill>
              <w14:schemeClr w14:val="tx1"/>
            </w14:solidFill>
          </w14:textFill>
        </w:rPr>
        <w:t>适用范围</w:t>
      </w:r>
      <w:bookmarkEnd w:id="18"/>
      <w:bookmarkEnd w:id="19"/>
      <w:bookmarkEnd w:id="20"/>
      <w:bookmarkEnd w:id="21"/>
      <w:bookmarkEnd w:id="22"/>
      <w:bookmarkEnd w:id="23"/>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kern w:val="0"/>
        </w:rPr>
        <w:t>本预案适用于抚顺高新技术产业园区内</w:t>
      </w:r>
      <w:r>
        <w:rPr>
          <w:rFonts w:asciiTheme="minorEastAsia" w:hAnsiTheme="minorEastAsia" w:eastAsiaTheme="minorEastAsia"/>
          <w:kern w:val="0"/>
        </w:rPr>
        <w:t>所有发生或可能发生的突发性环境事件</w:t>
      </w:r>
      <w:r>
        <w:rPr>
          <w:rFonts w:hint="eastAsia" w:asciiTheme="minorEastAsia" w:hAnsiTheme="minorEastAsia" w:eastAsiaTheme="minorEastAsia"/>
          <w:kern w:val="0"/>
        </w:rPr>
        <w:t>的</w:t>
      </w:r>
      <w:r>
        <w:rPr>
          <w:rFonts w:asciiTheme="minorEastAsia" w:hAnsiTheme="minorEastAsia" w:eastAsiaTheme="minorEastAsia"/>
          <w:kern w:val="0"/>
        </w:rPr>
        <w:t>预防</w:t>
      </w:r>
      <w:r>
        <w:rPr>
          <w:rFonts w:hint="eastAsia" w:asciiTheme="minorEastAsia" w:hAnsiTheme="minorEastAsia" w:eastAsiaTheme="minorEastAsia"/>
          <w:kern w:val="0"/>
        </w:rPr>
        <w:t>、响应和救援等应急工作。</w:t>
      </w:r>
    </w:p>
    <w:p>
      <w:pPr>
        <w:pStyle w:val="4"/>
        <w:spacing w:before="156"/>
        <w:ind w:left="301" w:hanging="301"/>
        <w:rPr>
          <w:rFonts w:eastAsia="黑体"/>
          <w:bCs/>
          <w:color w:val="000000" w:themeColor="text1"/>
          <w:szCs w:val="30"/>
          <w14:textFill>
            <w14:solidFill>
              <w14:schemeClr w14:val="tx1"/>
            </w14:solidFill>
          </w14:textFill>
        </w:rPr>
      </w:pPr>
      <w:bookmarkStart w:id="24" w:name="_Toc116110881"/>
      <w:r>
        <w:rPr>
          <w:bCs/>
          <w:color w:val="000000" w:themeColor="text1"/>
          <w:szCs w:val="30"/>
          <w14:textFill>
            <w14:solidFill>
              <w14:schemeClr w14:val="tx1"/>
            </w14:solidFill>
          </w14:textFill>
        </w:rPr>
        <w:t>1.</w:t>
      </w:r>
      <w:r>
        <w:rPr>
          <w:rFonts w:hint="eastAsia"/>
          <w:bCs/>
          <w:color w:val="000000" w:themeColor="text1"/>
          <w:szCs w:val="30"/>
          <w14:textFill>
            <w14:solidFill>
              <w14:schemeClr w14:val="tx1"/>
            </w14:solidFill>
          </w14:textFill>
        </w:rPr>
        <w:t>5</w:t>
      </w:r>
      <w:r>
        <w:rPr>
          <w:rFonts w:hint="eastAsia" w:ascii="宋体" w:hAnsi="宋体" w:cs="宋体"/>
          <w:bCs/>
          <w:color w:val="000000" w:themeColor="text1"/>
          <w:szCs w:val="30"/>
          <w14:textFill>
            <w14:solidFill>
              <w14:schemeClr w14:val="tx1"/>
            </w14:solidFill>
          </w14:textFill>
        </w:rPr>
        <w:t>工作原则</w:t>
      </w:r>
      <w:bookmarkEnd w:id="24"/>
    </w:p>
    <w:p>
      <w:pPr>
        <w:pStyle w:val="29"/>
        <w:spacing w:before="0" w:beforeLines="0" w:after="0" w:line="360" w:lineRule="auto"/>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1、以人为本，积极预防。把人民群众生命财产安全放在首位，积极做好环境安全隐患排查治理监管工作。</w:t>
      </w:r>
    </w:p>
    <w:p>
      <w:pPr>
        <w:pStyle w:val="29"/>
        <w:spacing w:before="0" w:beforeLines="0" w:after="0" w:line="360" w:lineRule="auto"/>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2、统一领导，分类管理。在高新区管委会的统一领导下，针对不同原因所造成的突发环境事件的特点快速响应，实行分类管理。</w:t>
      </w:r>
    </w:p>
    <w:p>
      <w:pPr>
        <w:pStyle w:val="29"/>
        <w:spacing w:before="0" w:beforeLines="0" w:after="0" w:line="360" w:lineRule="auto"/>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3、属地为主，环境优先，先期处置。高新区各级组织负责本辖区突发环境事件应对工作，强化落实生产经营单位的环境安全主体责任和履行先期处置义务防止问题扩大化。</w:t>
      </w:r>
    </w:p>
    <w:p>
      <w:pPr>
        <w:pStyle w:val="29"/>
        <w:spacing w:before="0" w:beforeLines="0" w:after="0" w:line="360" w:lineRule="auto"/>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4、部门联动，社会动员。建立和完善部门联动机制，充分发挥部门专业优势履行岗位职责；建立社会应急动员机制，提高公众自救、互救能力。</w:t>
      </w:r>
    </w:p>
    <w:p>
      <w:pPr>
        <w:pStyle w:val="29"/>
        <w:spacing w:before="0" w:beforeLines="0" w:after="0" w:line="360" w:lineRule="auto"/>
        <w:ind w:left="0" w:leftChars="0" w:firstLine="48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5、依靠科技，规范管理。积极鼓励环境应急科研工作，努力提高应急科技应用水平；积极推进突发环境事件应对工作规范化、制度化、法制化。</w:t>
      </w:r>
    </w:p>
    <w:p>
      <w:pPr>
        <w:widowControl/>
        <w:spacing w:before="0" w:beforeLines="0"/>
        <w:ind w:firstLine="480"/>
        <w:rPr>
          <w:rFonts w:asciiTheme="minorEastAsia" w:hAnsiTheme="minorEastAsia" w:eastAsiaTheme="minorEastAsia"/>
          <w:kern w:val="0"/>
        </w:rPr>
      </w:pPr>
      <w:r>
        <w:rPr>
          <w:rFonts w:hint="eastAsia" w:asciiTheme="minorEastAsia" w:hAnsiTheme="minorEastAsia" w:eastAsiaTheme="minorEastAsia"/>
          <w:kern w:val="0"/>
        </w:rPr>
        <w:t>6、信息公开，正确引导</w:t>
      </w:r>
    </w:p>
    <w:p>
      <w:pPr>
        <w:widowControl/>
        <w:spacing w:before="0" w:beforeLines="0"/>
        <w:ind w:firstLine="480"/>
        <w:rPr>
          <w:rFonts w:asciiTheme="minorEastAsia" w:hAnsiTheme="minorEastAsia" w:eastAsiaTheme="minorEastAsia"/>
          <w:kern w:val="0"/>
        </w:rPr>
      </w:pPr>
      <w:r>
        <w:rPr>
          <w:rFonts w:hint="eastAsia" w:asciiTheme="minorEastAsia" w:hAnsiTheme="minorEastAsia" w:eastAsiaTheme="minorEastAsia"/>
          <w:kern w:val="0"/>
        </w:rPr>
        <w:t>按照及时、主动、公开、透明的原则和正面宣传为主的方针，完善信息发布快速反应、舆情收集和分析机制，坚持事件处置与信息发布工作同步安排、同步推进，统一信息发布归口，坦诚面对公众、媒体和各利益相关方。</w:t>
      </w:r>
    </w:p>
    <w:p>
      <w:pPr>
        <w:pStyle w:val="4"/>
        <w:spacing w:before="156"/>
        <w:ind w:left="301" w:hanging="301"/>
        <w:rPr>
          <w:color w:val="000000" w:themeColor="text1"/>
          <w14:textFill>
            <w14:solidFill>
              <w14:schemeClr w14:val="tx1"/>
            </w14:solidFill>
          </w14:textFill>
        </w:rPr>
      </w:pPr>
      <w:bookmarkStart w:id="25" w:name="_Toc116110882"/>
      <w:r>
        <w:rPr>
          <w:color w:val="000000" w:themeColor="text1"/>
          <w:szCs w:val="30"/>
          <w14:textFill>
            <w14:solidFill>
              <w14:schemeClr w14:val="tx1"/>
            </w14:solidFill>
          </w14:textFill>
        </w:rPr>
        <w:t xml:space="preserve">1.6 </w:t>
      </w:r>
      <w:r>
        <w:rPr>
          <w:rFonts w:hint="eastAsia"/>
          <w:color w:val="000000" w:themeColor="text1"/>
          <w:szCs w:val="30"/>
          <w14:textFill>
            <w14:solidFill>
              <w14:schemeClr w14:val="tx1"/>
            </w14:solidFill>
          </w14:textFill>
        </w:rPr>
        <w:t>应急救援预案体系</w:t>
      </w:r>
      <w:bookmarkEnd w:id="25"/>
    </w:p>
    <w:p>
      <w:pPr>
        <w:spacing w:before="0" w:beforeLines="0"/>
        <w:ind w:firstLine="480"/>
        <w:rPr>
          <w:rFonts w:asciiTheme="minorEastAsia" w:hAnsiTheme="minorEastAsia" w:eastAsiaTheme="minorEastAsia"/>
        </w:rPr>
      </w:pPr>
      <w:r>
        <w:rPr>
          <w:rFonts w:hint="eastAsia" w:asciiTheme="minorEastAsia" w:hAnsiTheme="minorEastAsia" w:eastAsiaTheme="minorEastAsia"/>
        </w:rPr>
        <w:t>抚顺高新技术产业开发区建立了比较完备的应急救援预案体系。本预案应急组织领</w:t>
      </w:r>
      <w:r>
        <w:rPr>
          <w:rFonts w:hint="eastAsia" w:asciiTheme="minorEastAsia" w:hAnsiTheme="minorEastAsia" w:eastAsiaTheme="minorEastAsia"/>
          <w:color w:val="000000"/>
        </w:rPr>
        <w:t>导机构、救援队伍及救援工作与园区消防、安全应急预案相关内容进行</w:t>
      </w:r>
      <w:r>
        <w:rPr>
          <w:rFonts w:hint="eastAsia" w:asciiTheme="minorEastAsia" w:hAnsiTheme="minorEastAsia" w:eastAsiaTheme="minorEastAsia"/>
        </w:rPr>
        <w:t>对接，做到应急组织机构、救援队伍不冲突，救援工作有序开展。本预案更加注重突发环境事件对周边环境受体和生态环境的影响，从而提出有针对性的应急处置方案。</w:t>
      </w:r>
    </w:p>
    <w:p>
      <w:pPr>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rPr>
        <w:t>园区突发环境事件应急预案与园区消防应急预案、安全生产应急预案互为补充。消防应急预案所规划及预防的重点要以安全生产预案为基础，针对安全生产中可能引发的消防隐患做出针对性的提炼及预防措施，开展培训及消防演习。园区安全生产预案中十分重要的一部分就是消防安全问题，故此重点隐患问题的预防及处理则要遵循消防应急预案的要求，以消防应急预案作为指导文件。以上</w:t>
      </w:r>
      <w:r>
        <w:rPr>
          <w:rFonts w:hint="eastAsia" w:asciiTheme="minorEastAsia" w:hAnsiTheme="minorEastAsia" w:eastAsiaTheme="minorEastAsia"/>
        </w:rPr>
        <w:t>两项预案中的所有处置及防范措施安排都会涉及到环境事件问题，因此也都要考虑并且遵从园区突发环境事件应急预案的原则，环境预案归根到底是安全及消防问题所引发的后果所做出的响应要求，三者相辅相成。三者共同在社会应急救援体系的支持和协助下，才能发挥更加良好的防范和救援效果。</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本预案从编制目的、编制原则、分级响应机制、应急保障措施以及后期处置几方面都遵循了抚顺市东洲区突发环境事件应急预案的相关内容和要求，并充分衔接抚顺市突发环境应急预案。同时本预案中规定了与抚顺市东洲区突发环境事件应急预案和抚顺市突发环境应急预案等上位预案的应急救援指挥体系的衔接内容，做到发生突发环境事件时在上位预案指挥体系的领导下，及时、有效地开展应急救援工作。</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同时，本预案中规定了与园区内抚顺石化分公司石油二厂、烯烃厂、腈纶化工厂等企业应急预案的应急救援指挥体系的衔接内容，从而借助石化公司应急物资和应急救援力量有效控制环境突发环境事件发展。抚顺高新技术产业开发区应急体系见图1-1</w:t>
      </w:r>
    </w:p>
    <w:p>
      <w:pPr>
        <w:pStyle w:val="4"/>
        <w:spacing w:before="156"/>
        <w:ind w:left="301" w:hanging="301"/>
        <w:rPr>
          <w:color w:val="000000" w:themeColor="text1"/>
          <w14:textFill>
            <w14:solidFill>
              <w14:schemeClr w14:val="tx1"/>
            </w14:solidFill>
          </w14:textFill>
        </w:rPr>
      </w:pPr>
      <w:bookmarkStart w:id="26" w:name="_Toc116110883"/>
      <w:r>
        <w:rPr>
          <w:color w:val="000000" w:themeColor="text1"/>
          <w:szCs w:val="30"/>
          <w14:textFill>
            <w14:solidFill>
              <w14:schemeClr w14:val="tx1"/>
            </w14:solidFill>
          </w14:textFill>
        </w:rPr>
        <w:t>1.</w:t>
      </w:r>
      <w:r>
        <w:rPr>
          <w:rFonts w:hint="eastAsia"/>
          <w:color w:val="000000" w:themeColor="text1"/>
          <w:szCs w:val="30"/>
          <w14:textFill>
            <w14:solidFill>
              <w14:schemeClr w14:val="tx1"/>
            </w14:solidFill>
          </w14:textFill>
        </w:rPr>
        <w:t>7</w:t>
      </w:r>
      <w:r>
        <w:rPr>
          <w:color w:val="000000" w:themeColor="text1"/>
          <w:szCs w:val="30"/>
          <w14:textFill>
            <w14:solidFill>
              <w14:schemeClr w14:val="tx1"/>
            </w14:solidFill>
          </w14:textFill>
        </w:rPr>
        <w:t xml:space="preserve"> </w:t>
      </w:r>
      <w:r>
        <w:rPr>
          <w:rFonts w:hint="eastAsia" w:ascii="宋体" w:hAnsi="宋体" w:cs="宋体"/>
          <w:color w:val="000000" w:themeColor="text1"/>
          <w:szCs w:val="30"/>
          <w14:textFill>
            <w14:solidFill>
              <w14:schemeClr w14:val="tx1"/>
            </w14:solidFill>
          </w14:textFill>
        </w:rPr>
        <w:t>应急预案启动条件</w:t>
      </w:r>
      <w:bookmarkEnd w:id="26"/>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）当园区内企业出现突发环境事件，且事故的危害程度和影响范围在企业范围内时，启动企业相应的企业突发环境事件应急预案，并通报高新区管理委员会及高新区环境应急救援指挥部办公室。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14:textFill>
            <w14:solidFill>
              <w14:schemeClr w14:val="tx1"/>
            </w14:solidFill>
          </w14:textFill>
        </w:rPr>
        <w:t>）当突发环境事件的影响范围已超出企业控制能力范围之外，企业无法控制影响事故态势，须及时上报高新区管理委员会及高新区环境应急救援指挥部办公室，指挥部在接到报警后启动本突发环境事件应急预案。</w:t>
      </w: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3</w:t>
      </w:r>
      <w:r>
        <w:rPr>
          <w:rFonts w:hint="eastAsia" w:asciiTheme="minorEastAsia" w:hAnsiTheme="minorEastAsia" w:eastAsiaTheme="minorEastAsia"/>
          <w:color w:val="000000" w:themeColor="text1"/>
          <w14:textFill>
            <w14:solidFill>
              <w14:schemeClr w14:val="tx1"/>
            </w14:solidFill>
          </w14:textFill>
        </w:rPr>
        <w:t>）若事故超出高新区环境应急救援指挥部应急救援处置能力时，应及时报请</w:t>
      </w:r>
      <w:r>
        <w:rPr>
          <w:rFonts w:hint="eastAsia" w:asciiTheme="minorEastAsia" w:hAnsiTheme="minorEastAsia" w:eastAsiaTheme="minorEastAsia"/>
        </w:rPr>
        <w:t>抚顺市东洲区应急救援指挥机构和</w:t>
      </w:r>
      <w:r>
        <w:rPr>
          <w:rFonts w:hint="eastAsia" w:asciiTheme="minorEastAsia" w:hAnsiTheme="minorEastAsia" w:eastAsiaTheme="minorEastAsia"/>
          <w:color w:val="000000" w:themeColor="text1"/>
          <w14:textFill>
            <w14:solidFill>
              <w14:schemeClr w14:val="tx1"/>
            </w14:solidFill>
          </w14:textFill>
        </w:rPr>
        <w:t>抚顺市环境应急救援指挥机构，请求启动上一级应急预案。</w:t>
      </w: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rPr>
          <w:rFonts w:hint="eastAsia" w:asciiTheme="minorEastAsia" w:hAnsiTheme="minorEastAsia" w:eastAsiaTheme="minorEastAsia"/>
          <w:color w:val="000000" w:themeColor="text1"/>
          <w14:textFill>
            <w14:solidFill>
              <w14:schemeClr w14:val="tx1"/>
            </w14:solidFill>
          </w14:textFill>
        </w:rPr>
      </w:pPr>
    </w:p>
    <w:p>
      <w:pPr>
        <w:spacing w:before="0" w:beforeLines="0"/>
        <w:ind w:firstLine="480"/>
      </w:pPr>
      <w:r>
        <mc:AlternateContent>
          <mc:Choice Requires="wpg">
            <w:drawing>
              <wp:anchor distT="0" distB="0" distL="114300" distR="114300" simplePos="0" relativeHeight="251673600" behindDoc="0" locked="0" layoutInCell="1" allowOverlap="1">
                <wp:simplePos x="0" y="0"/>
                <wp:positionH relativeFrom="column">
                  <wp:posOffset>262890</wp:posOffset>
                </wp:positionH>
                <wp:positionV relativeFrom="paragraph">
                  <wp:posOffset>74295</wp:posOffset>
                </wp:positionV>
                <wp:extent cx="4590415" cy="5900420"/>
                <wp:effectExtent l="0" t="0" r="20320" b="5715"/>
                <wp:wrapNone/>
                <wp:docPr id="11" name="组合 11"/>
                <wp:cNvGraphicFramePr/>
                <a:graphic xmlns:a="http://schemas.openxmlformats.org/drawingml/2006/main">
                  <a:graphicData uri="http://schemas.microsoft.com/office/word/2010/wordprocessingGroup">
                    <wpg:wgp>
                      <wpg:cNvGrpSpPr/>
                      <wpg:grpSpPr>
                        <a:xfrm>
                          <a:off x="0" y="0"/>
                          <a:ext cx="4590332" cy="5900156"/>
                          <a:chOff x="0" y="0"/>
                          <a:chExt cx="4590332" cy="5900156"/>
                        </a:xfrm>
                      </wpg:grpSpPr>
                      <wps:wsp>
                        <wps:cNvPr id="120" name="文本框 2"/>
                        <wps:cNvSpPr txBox="1">
                          <a:spLocks noChangeArrowheads="1"/>
                        </wps:cNvSpPr>
                        <wps:spPr bwMode="auto">
                          <a:xfrm>
                            <a:off x="1130061" y="5495026"/>
                            <a:ext cx="2522220" cy="405130"/>
                          </a:xfrm>
                          <a:prstGeom prst="rect">
                            <a:avLst/>
                          </a:prstGeom>
                          <a:solidFill>
                            <a:srgbClr val="FFFFFF"/>
                          </a:solidFill>
                          <a:ln>
                            <a:noFill/>
                          </a:ln>
                        </wps:spPr>
                        <wps:txbx>
                          <w:txbxContent>
                            <w:p>
                              <w:pPr>
                                <w:spacing w:before="163" w:line="240" w:lineRule="auto"/>
                                <w:ind w:firstLine="420"/>
                                <w:rPr>
                                  <w:sz w:val="21"/>
                                  <w:szCs w:val="21"/>
                                </w:rPr>
                              </w:pPr>
                              <w:r>
                                <w:rPr>
                                  <w:rFonts w:hint="eastAsia" w:ascii="宋体" w:hAnsi="宋体" w:cs="宋体"/>
                                  <w:sz w:val="21"/>
                                  <w:szCs w:val="21"/>
                                </w:rPr>
                                <w:t>图1-1   应急预案体系图</w:t>
                              </w:r>
                            </w:p>
                          </w:txbxContent>
                        </wps:txbx>
                        <wps:bodyPr rot="0" vert="horz" wrap="square" lIns="91440" tIns="45720" rIns="91440" bIns="45720" anchor="t" anchorCtr="0" upright="1">
                          <a:noAutofit/>
                        </wps:bodyPr>
                      </wps:wsp>
                      <wpg:grpSp>
                        <wpg:cNvPr id="5" name="组合 5"/>
                        <wpg:cNvGrpSpPr/>
                        <wpg:grpSpPr>
                          <a:xfrm>
                            <a:off x="0" y="0"/>
                            <a:ext cx="4590332" cy="5414334"/>
                            <a:chOff x="0" y="0"/>
                            <a:chExt cx="4590332" cy="5414334"/>
                          </a:xfrm>
                        </wpg:grpSpPr>
                        <wps:wsp>
                          <wps:cNvPr id="121" name="文本框 701"/>
                          <wps:cNvSpPr txBox="1">
                            <a:spLocks noChangeArrowheads="1"/>
                          </wps:cNvSpPr>
                          <wps:spPr bwMode="auto">
                            <a:xfrm>
                              <a:off x="681487" y="0"/>
                              <a:ext cx="3209925" cy="332105"/>
                            </a:xfrm>
                            <a:prstGeom prst="rect">
                              <a:avLst/>
                            </a:prstGeom>
                            <a:solidFill>
                              <a:srgbClr val="FFFFFF"/>
                            </a:solidFill>
                            <a:ln w="9525">
                              <a:solidFill>
                                <a:srgbClr val="000000"/>
                              </a:solidFill>
                              <a:miter lim="800000"/>
                            </a:ln>
                            <a:effectLst/>
                          </wps:spPr>
                          <wps:txbx>
                            <w:txbxContent>
                              <w:p>
                                <w:pPr>
                                  <w:spacing w:before="0" w:beforeLines="0" w:line="320" w:lineRule="exact"/>
                                  <w:ind w:firstLine="420"/>
                                  <w:jc w:val="center"/>
                                  <w:rPr>
                                    <w:sz w:val="21"/>
                                    <w:szCs w:val="21"/>
                                  </w:rPr>
                                </w:pPr>
                                <w:r>
                                  <w:rPr>
                                    <w:rFonts w:hint="eastAsia"/>
                                    <w:sz w:val="21"/>
                                    <w:szCs w:val="21"/>
                                  </w:rPr>
                                  <w:t>抚顺市突发环境事件应急预案</w:t>
                                </w:r>
                              </w:p>
                            </w:txbxContent>
                          </wps:txbx>
                          <wps:bodyPr rot="0" vert="horz" wrap="square" lIns="91440" tIns="45720" rIns="91440" bIns="45720" anchor="t" anchorCtr="0" upright="1">
                            <a:noAutofit/>
                          </wps:bodyPr>
                        </wps:wsp>
                        <wps:wsp>
                          <wps:cNvPr id="122" name="直线 715"/>
                          <wps:cNvCnPr/>
                          <wps:spPr bwMode="auto">
                            <a:xfrm rot="5400000">
                              <a:off x="2135038" y="2324819"/>
                              <a:ext cx="332740" cy="0"/>
                            </a:xfrm>
                            <a:prstGeom prst="line">
                              <a:avLst/>
                            </a:prstGeom>
                            <a:noFill/>
                            <a:ln w="9525">
                              <a:solidFill>
                                <a:srgbClr val="000000"/>
                              </a:solidFill>
                              <a:round/>
                              <a:headEnd type="triangle" w="med" len="med"/>
                              <a:tailEnd type="triangle" w="med" len="med"/>
                            </a:ln>
                          </wps:spPr>
                          <wps:bodyPr/>
                        </wps:wsp>
                        <wps:wsp>
                          <wps:cNvPr id="123" name="文本框 717"/>
                          <wps:cNvSpPr txBox="1">
                            <a:spLocks noChangeArrowheads="1"/>
                          </wps:cNvSpPr>
                          <wps:spPr bwMode="auto">
                            <a:xfrm>
                              <a:off x="672861" y="698740"/>
                              <a:ext cx="3194685" cy="332105"/>
                            </a:xfrm>
                            <a:prstGeom prst="rect">
                              <a:avLst/>
                            </a:prstGeom>
                            <a:solidFill>
                              <a:srgbClr val="FFFFFF"/>
                            </a:solidFill>
                            <a:ln w="9525">
                              <a:solidFill>
                                <a:srgbClr val="000000"/>
                              </a:solidFill>
                              <a:miter lim="800000"/>
                            </a:ln>
                          </wps:spPr>
                          <wps:txbx>
                            <w:txbxContent>
                              <w:p>
                                <w:pPr>
                                  <w:spacing w:before="0" w:beforeLines="0" w:line="320" w:lineRule="exact"/>
                                  <w:ind w:firstLine="420"/>
                                  <w:jc w:val="center"/>
                                  <w:rPr>
                                    <w:sz w:val="21"/>
                                    <w:szCs w:val="21"/>
                                  </w:rPr>
                                </w:pPr>
                                <w:r>
                                  <w:rPr>
                                    <w:rFonts w:hint="eastAsia"/>
                                    <w:sz w:val="21"/>
                                    <w:szCs w:val="21"/>
                                  </w:rPr>
                                  <w:t>抚顺市东洲区突发环境事件应急预案</w:t>
                                </w:r>
                              </w:p>
                            </w:txbxContent>
                          </wps:txbx>
                          <wps:bodyPr rot="0" vert="horz" wrap="square" lIns="91440" tIns="45720" rIns="91440" bIns="45720" anchor="t" anchorCtr="0" upright="1">
                            <a:noAutofit/>
                          </wps:bodyPr>
                        </wps:wsp>
                        <wps:wsp>
                          <wps:cNvPr id="140" name="文本框 717"/>
                          <wps:cNvSpPr txBox="1">
                            <a:spLocks noChangeArrowheads="1"/>
                          </wps:cNvSpPr>
                          <wps:spPr bwMode="auto">
                            <a:xfrm>
                              <a:off x="1682151" y="1362974"/>
                              <a:ext cx="1200150" cy="819785"/>
                            </a:xfrm>
                            <a:prstGeom prst="rect">
                              <a:avLst/>
                            </a:prstGeom>
                            <a:solidFill>
                              <a:srgbClr val="FFC000"/>
                            </a:solidFill>
                            <a:ln w="9525">
                              <a:solidFill>
                                <a:srgbClr val="000000"/>
                              </a:solidFill>
                              <a:miter lim="800000"/>
                            </a:ln>
                          </wps:spPr>
                          <wps:txbx>
                            <w:txbxContent>
                              <w:p>
                                <w:pPr>
                                  <w:spacing w:before="0" w:beforeLines="0" w:line="320" w:lineRule="exact"/>
                                  <w:ind w:firstLine="0" w:firstLineChars="0"/>
                                  <w:jc w:val="center"/>
                                  <w:rPr>
                                    <w:sz w:val="21"/>
                                    <w:szCs w:val="21"/>
                                  </w:rPr>
                                </w:pPr>
                                <w:r>
                                  <w:rPr>
                                    <w:rFonts w:hint="eastAsia"/>
                                    <w:sz w:val="21"/>
                                    <w:szCs w:val="21"/>
                                  </w:rPr>
                                  <w:t>抚顺高新技术产业开发区突发环境事件应急预案</w:t>
                                </w:r>
                              </w:p>
                            </w:txbxContent>
                          </wps:txbx>
                          <wps:bodyPr rot="0" vert="horz" wrap="square" lIns="91440" tIns="45720" rIns="91440" bIns="45720" anchor="ctr" anchorCtr="0" upright="1">
                            <a:noAutofit/>
                          </wps:bodyPr>
                        </wps:wsp>
                        <wps:wsp>
                          <wps:cNvPr id="142" name="直接箭头连接符 142"/>
                          <wps:cNvCnPr/>
                          <wps:spPr>
                            <a:xfrm>
                              <a:off x="2277374" y="370936"/>
                              <a:ext cx="0" cy="2952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8" name="组合 148"/>
                          <wpg:cNvGrpSpPr/>
                          <wpg:grpSpPr>
                            <a:xfrm>
                              <a:off x="138023" y="2794959"/>
                              <a:ext cx="4352925" cy="2619375"/>
                              <a:chOff x="0" y="28575"/>
                              <a:chExt cx="4352925" cy="2619375"/>
                            </a:xfrm>
                          </wpg:grpSpPr>
                          <wps:wsp>
                            <wps:cNvPr id="307" name="文本框 2"/>
                            <wps:cNvSpPr txBox="1">
                              <a:spLocks noChangeArrowheads="1"/>
                            </wps:cNvSpPr>
                            <wps:spPr bwMode="auto">
                              <a:xfrm>
                                <a:off x="942975" y="38100"/>
                                <a:ext cx="514350" cy="2590800"/>
                              </a:xfrm>
                              <a:prstGeom prst="rect">
                                <a:avLst/>
                              </a:prstGeom>
                              <a:solidFill>
                                <a:srgbClr val="FFFFFF"/>
                              </a:solidFill>
                              <a:ln w="9525">
                                <a:solidFill>
                                  <a:srgbClr val="000000"/>
                                </a:solidFill>
                                <a:miter lim="800000"/>
                              </a:ln>
                            </wps:spPr>
                            <wps:txbx>
                              <w:txbxContent>
                                <w:p>
                                  <w:pPr>
                                    <w:spacing w:before="0" w:beforeLines="0" w:line="240" w:lineRule="auto"/>
                                    <w:ind w:firstLine="0" w:firstLineChars="0"/>
                                    <w:rPr>
                                      <w:sz w:val="21"/>
                                      <w:szCs w:val="21"/>
                                    </w:rPr>
                                  </w:pPr>
                                  <w:r>
                                    <w:rPr>
                                      <w:rFonts w:hint="eastAsia"/>
                                      <w:sz w:val="21"/>
                                      <w:szCs w:val="21"/>
                                    </w:rPr>
                                    <w:t>高新一区（核心区）突发环境事件应急预案</w:t>
                                  </w:r>
                                </w:p>
                              </w:txbxContent>
                            </wps:txbx>
                            <wps:bodyPr rot="0" vert="horz" wrap="square" lIns="91440" tIns="45720" rIns="91440" bIns="45720" anchor="t" anchorCtr="0">
                              <a:noAutofit/>
                            </wps:bodyPr>
                          </wps:wsp>
                          <wps:wsp>
                            <wps:cNvPr id="144" name="文本框 2"/>
                            <wps:cNvSpPr txBox="1">
                              <a:spLocks noChangeArrowheads="1"/>
                            </wps:cNvSpPr>
                            <wps:spPr bwMode="auto">
                              <a:xfrm>
                                <a:off x="1924050" y="28575"/>
                                <a:ext cx="523875" cy="2619375"/>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rPr>
                                      <w:sz w:val="21"/>
                                      <w:szCs w:val="21"/>
                                    </w:rPr>
                                  </w:pPr>
                                  <w:r>
                                    <w:rPr>
                                      <w:rFonts w:hint="eastAsia"/>
                                      <w:sz w:val="21"/>
                                      <w:szCs w:val="21"/>
                                    </w:rPr>
                                    <w:t>高新二区（兰山工业园区）突发环境事件应急预案</w:t>
                                  </w:r>
                                </w:p>
                              </w:txbxContent>
                            </wps:txbx>
                            <wps:bodyPr rot="0" vert="horz" wrap="square" lIns="91440" tIns="45720" rIns="91440" bIns="45720" anchor="t" anchorCtr="0">
                              <a:noAutofit/>
                            </wps:bodyPr>
                          </wps:wsp>
                          <wps:wsp>
                            <wps:cNvPr id="145" name="文本框 2"/>
                            <wps:cNvSpPr txBox="1">
                              <a:spLocks noChangeArrowheads="1"/>
                            </wps:cNvSpPr>
                            <wps:spPr bwMode="auto">
                              <a:xfrm>
                                <a:off x="0" y="38100"/>
                                <a:ext cx="523875" cy="2590800"/>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抚顺市再生资源产业园（A园）突发环境事件应急预案</w:t>
                                  </w:r>
                                </w:p>
                              </w:txbxContent>
                            </wps:txbx>
                            <wps:bodyPr rot="0" vert="horz" wrap="square" lIns="91440" tIns="45720" rIns="91440" bIns="45720" anchor="t" anchorCtr="0">
                              <a:noAutofit/>
                            </wps:bodyPr>
                          </wps:wsp>
                          <wps:wsp>
                            <wps:cNvPr id="146" name="文本框 2"/>
                            <wps:cNvSpPr txBox="1">
                              <a:spLocks noChangeArrowheads="1"/>
                            </wps:cNvSpPr>
                            <wps:spPr bwMode="auto">
                              <a:xfrm>
                                <a:off x="2914650" y="47625"/>
                                <a:ext cx="523875" cy="2581275"/>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rPr>
                                      <w:sz w:val="21"/>
                                      <w:szCs w:val="21"/>
                                    </w:rPr>
                                  </w:pPr>
                                  <w:r>
                                    <w:rPr>
                                      <w:rFonts w:hint="eastAsia"/>
                                      <w:sz w:val="21"/>
                                      <w:szCs w:val="21"/>
                                    </w:rPr>
                                    <w:t>高新三区（海新工业园区）突发环境事件应急预案</w:t>
                                  </w:r>
                                </w:p>
                              </w:txbxContent>
                            </wps:txbx>
                            <wps:bodyPr rot="0" vert="horz" wrap="square" lIns="91440" tIns="45720" rIns="91440" bIns="45720" anchor="t" anchorCtr="0">
                              <a:noAutofit/>
                            </wps:bodyPr>
                          </wps:wsp>
                          <wps:wsp>
                            <wps:cNvPr id="147" name="文本框 2"/>
                            <wps:cNvSpPr txBox="1">
                              <a:spLocks noChangeArrowheads="1"/>
                            </wps:cNvSpPr>
                            <wps:spPr bwMode="auto">
                              <a:xfrm>
                                <a:off x="3829050" y="47625"/>
                                <a:ext cx="523875" cy="2581275"/>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rPr>
                                      <w:sz w:val="21"/>
                                      <w:szCs w:val="21"/>
                                    </w:rPr>
                                  </w:pPr>
                                  <w:r>
                                    <w:rPr>
                                      <w:rFonts w:hint="eastAsia"/>
                                      <w:sz w:val="21"/>
                                      <w:szCs w:val="21"/>
                                    </w:rPr>
                                    <w:t>高新四区（青䓍沟工业园区）突发环境事件应急预案</w:t>
                                  </w:r>
                                </w:p>
                              </w:txbxContent>
                            </wps:txbx>
                            <wps:bodyPr rot="0" vert="horz" wrap="square" lIns="91440" tIns="45720" rIns="91440" bIns="45720" anchor="t" anchorCtr="0">
                              <a:noAutofit/>
                            </wps:bodyPr>
                          </wps:wsp>
                        </wpg:grpSp>
                        <wps:wsp>
                          <wps:cNvPr id="149" name="直接连接符 149"/>
                          <wps:cNvCnPr/>
                          <wps:spPr>
                            <a:xfrm>
                              <a:off x="431321" y="2475781"/>
                              <a:ext cx="38004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 name="直接连接符 150"/>
                          <wps:cNvCnPr/>
                          <wps:spPr>
                            <a:xfrm flipV="1">
                              <a:off x="431321" y="2475781"/>
                              <a:ext cx="0" cy="3238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直接连接符 151"/>
                          <wps:cNvCnPr/>
                          <wps:spPr>
                            <a:xfrm flipV="1">
                              <a:off x="1345721" y="2475781"/>
                              <a:ext cx="0" cy="3238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直接连接符 152"/>
                          <wps:cNvCnPr/>
                          <wps:spPr>
                            <a:xfrm flipV="1">
                              <a:off x="2303253" y="2458528"/>
                              <a:ext cx="0" cy="3238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直接连接符 153"/>
                          <wps:cNvCnPr/>
                          <wps:spPr>
                            <a:xfrm flipV="1">
                              <a:off x="3312544" y="2475781"/>
                              <a:ext cx="0" cy="3238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直接连接符 154"/>
                          <wps:cNvCnPr/>
                          <wps:spPr>
                            <a:xfrm flipV="1">
                              <a:off x="4226944" y="2475781"/>
                              <a:ext cx="0" cy="3238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1" name="直线 715"/>
                          <wps:cNvCnPr/>
                          <wps:spPr bwMode="auto">
                            <a:xfrm>
                              <a:off x="1207699" y="1811547"/>
                              <a:ext cx="443230" cy="0"/>
                            </a:xfrm>
                            <a:prstGeom prst="line">
                              <a:avLst/>
                            </a:prstGeom>
                            <a:noFill/>
                            <a:ln w="9525">
                              <a:solidFill>
                                <a:srgbClr val="000000"/>
                              </a:solidFill>
                              <a:round/>
                              <a:headEnd type="triangle" w="med" len="med"/>
                              <a:tailEnd type="triangle" w="med" len="med"/>
                            </a:ln>
                          </wps:spPr>
                          <wps:bodyPr/>
                        </wps:wsp>
                        <wps:wsp>
                          <wps:cNvPr id="256" name="直线 715"/>
                          <wps:cNvCnPr/>
                          <wps:spPr bwMode="auto">
                            <a:xfrm>
                              <a:off x="2898476" y="1794294"/>
                              <a:ext cx="443230" cy="0"/>
                            </a:xfrm>
                            <a:prstGeom prst="line">
                              <a:avLst/>
                            </a:prstGeom>
                            <a:noFill/>
                            <a:ln w="9525">
                              <a:solidFill>
                                <a:srgbClr val="000000"/>
                              </a:solidFill>
                              <a:round/>
                              <a:headEnd type="triangle" w="med" len="med"/>
                              <a:tailEnd type="triangle" w="med" len="med"/>
                            </a:ln>
                          </wps:spPr>
                          <wps:bodyPr/>
                        </wps:wsp>
                        <wps:wsp>
                          <wps:cNvPr id="257" name="文本框 717"/>
                          <wps:cNvSpPr txBox="1">
                            <a:spLocks noChangeArrowheads="1"/>
                          </wps:cNvSpPr>
                          <wps:spPr bwMode="auto">
                            <a:xfrm>
                              <a:off x="0" y="1406106"/>
                              <a:ext cx="1200150" cy="819785"/>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jc w:val="center"/>
                                  <w:rPr>
                                    <w:sz w:val="21"/>
                                    <w:szCs w:val="21"/>
                                  </w:rPr>
                                </w:pPr>
                                <w:r>
                                  <w:rPr>
                                    <w:rFonts w:hint="eastAsia"/>
                                    <w:sz w:val="21"/>
                                    <w:szCs w:val="21"/>
                                  </w:rPr>
                                  <w:t>抚顺高新技术</w:t>
                                </w:r>
                              </w:p>
                              <w:p>
                                <w:pPr>
                                  <w:spacing w:before="0" w:beforeLines="0" w:line="320" w:lineRule="exact"/>
                                  <w:ind w:firstLine="0" w:firstLineChars="0"/>
                                  <w:jc w:val="center"/>
                                  <w:rPr>
                                    <w:sz w:val="21"/>
                                    <w:szCs w:val="21"/>
                                  </w:rPr>
                                </w:pPr>
                                <w:r>
                                  <w:rPr>
                                    <w:rFonts w:hint="eastAsia"/>
                                    <w:sz w:val="21"/>
                                    <w:szCs w:val="21"/>
                                  </w:rPr>
                                  <w:t>产业开发区</w:t>
                                </w:r>
                              </w:p>
                              <w:p>
                                <w:pPr>
                                  <w:spacing w:before="0" w:beforeLines="0" w:line="320" w:lineRule="exact"/>
                                  <w:ind w:firstLine="0" w:firstLineChars="0"/>
                                  <w:jc w:val="center"/>
                                  <w:rPr>
                                    <w:sz w:val="21"/>
                                    <w:szCs w:val="21"/>
                                  </w:rPr>
                                </w:pPr>
                                <w:r>
                                  <w:rPr>
                                    <w:rFonts w:hint="eastAsia"/>
                                    <w:sz w:val="21"/>
                                    <w:szCs w:val="21"/>
                                  </w:rPr>
                                  <w:t>消防应急预案</w:t>
                                </w:r>
                              </w:p>
                            </w:txbxContent>
                          </wps:txbx>
                          <wps:bodyPr rot="0" vert="horz" wrap="square" lIns="91440" tIns="45720" rIns="91440" bIns="45720" anchor="ctr" anchorCtr="0" upright="1">
                            <a:noAutofit/>
                          </wps:bodyPr>
                        </wps:wsp>
                        <wps:wsp>
                          <wps:cNvPr id="258" name="文本框 717"/>
                          <wps:cNvSpPr txBox="1">
                            <a:spLocks noChangeArrowheads="1"/>
                          </wps:cNvSpPr>
                          <wps:spPr bwMode="auto">
                            <a:xfrm>
                              <a:off x="3390182" y="1380226"/>
                              <a:ext cx="1200150" cy="819785"/>
                            </a:xfrm>
                            <a:prstGeom prst="rect">
                              <a:avLst/>
                            </a:prstGeom>
                            <a:solidFill>
                              <a:srgbClr val="FFFFFF"/>
                            </a:solidFill>
                            <a:ln w="9525">
                              <a:solidFill>
                                <a:srgbClr val="000000"/>
                              </a:solidFill>
                              <a:miter lim="800000"/>
                            </a:ln>
                          </wps:spPr>
                          <wps:txbx>
                            <w:txbxContent>
                              <w:p>
                                <w:pPr>
                                  <w:spacing w:before="0" w:beforeLines="0" w:line="320" w:lineRule="exact"/>
                                  <w:ind w:firstLine="0" w:firstLineChars="0"/>
                                  <w:jc w:val="center"/>
                                  <w:rPr>
                                    <w:sz w:val="21"/>
                                    <w:szCs w:val="21"/>
                                  </w:rPr>
                                </w:pPr>
                                <w:r>
                                  <w:rPr>
                                    <w:rFonts w:hint="eastAsia"/>
                                    <w:sz w:val="21"/>
                                    <w:szCs w:val="21"/>
                                  </w:rPr>
                                  <w:t>抚顺高新技术</w:t>
                                </w:r>
                              </w:p>
                              <w:p>
                                <w:pPr>
                                  <w:spacing w:before="0" w:beforeLines="0" w:line="320" w:lineRule="exact"/>
                                  <w:ind w:firstLine="0" w:firstLineChars="0"/>
                                  <w:jc w:val="center"/>
                                  <w:rPr>
                                    <w:sz w:val="21"/>
                                    <w:szCs w:val="21"/>
                                  </w:rPr>
                                </w:pPr>
                                <w:r>
                                  <w:rPr>
                                    <w:rFonts w:hint="eastAsia"/>
                                    <w:sz w:val="21"/>
                                    <w:szCs w:val="21"/>
                                  </w:rPr>
                                  <w:t>产业开发区安全生产应急预案</w:t>
                                </w:r>
                              </w:p>
                            </w:txbxContent>
                          </wps:txbx>
                          <wps:bodyPr rot="0" vert="horz" wrap="square" lIns="91440" tIns="45720" rIns="91440" bIns="45720" anchor="ctr" anchorCtr="0" upright="1">
                            <a:noAutofit/>
                          </wps:bodyPr>
                        </wps:wsp>
                        <wps:wsp>
                          <wps:cNvPr id="4" name="直接箭头连接符 4"/>
                          <wps:cNvCnPr/>
                          <wps:spPr>
                            <a:xfrm>
                              <a:off x="2277374" y="1052423"/>
                              <a:ext cx="0" cy="2952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0.7pt;margin-top:5.85pt;height:464.6pt;width:361.45pt;z-index:251673600;mso-width-relative:page;mso-height-relative:page;" coordsize="4590332,5900156" o:gfxdata="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">
                <o:lock v:ext="edit" aspectratio="f"/>
                <v:shape id="文本框 2" o:spid="_x0000_s1026" o:spt="202" type="#_x0000_t202" style="position:absolute;left:1130061;top:5495026;height:405130;width:2522220;" fillcolor="#FFFFFF" filled="t" stroked="f" coordsize="21600,21600" o:gfxdata="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dxT8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spacing w:before="163" w:line="240" w:lineRule="auto"/>
                          <w:ind w:firstLine="420"/>
                          <w:rPr>
                            <w:sz w:val="21"/>
                            <w:szCs w:val="21"/>
                          </w:rPr>
                        </w:pPr>
                        <w:r>
                          <w:rPr>
                            <w:rFonts w:hint="eastAsia" w:ascii="宋体" w:hAnsi="宋体" w:cs="宋体"/>
                            <w:sz w:val="21"/>
                            <w:szCs w:val="21"/>
                          </w:rPr>
                          <w:t>图1-1   应急预案体系图</w:t>
                        </w:r>
                      </w:p>
                    </w:txbxContent>
                  </v:textbox>
                </v:shape>
                <v:group id="_x0000_s1026" o:spid="_x0000_s1026" o:spt="203" style="position:absolute;left:0;top:0;height:5414334;width:4590332;" coordsize="4590332,5414334" o:gfxdata="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TySXu7AAAA2gAAAA8AAAAAAAAAAQAgAAAAIgAAAGRycy9kb3ducmV2LnhtbFBL&#10;AQIUABQAAAAIAIdO4kAzLwWeOwAAADkAAAAVAAAAAAAAAAEAIAAAAAoBAABkcnMvZ3JvdXBzaGFw&#10;ZXhtbC54bWxQSwUGAAAAAAYABgBgAQAAxwMAAAAA&#10;">
                  <o:lock v:ext="edit" aspectratio="f"/>
                  <v:shape id="文本框 701" o:spid="_x0000_s1026" o:spt="202" type="#_x0000_t202" style="position:absolute;left:681487;top:0;height:332105;width:3209925;" fillcolor="#FFFFFF" filled="t" stroked="t" coordsize="21600,21600" o:gfxdata="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d8JQ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spacing w:before="0" w:beforeLines="0" w:line="320" w:lineRule="exact"/>
                            <w:ind w:firstLine="420"/>
                            <w:jc w:val="center"/>
                            <w:rPr>
                              <w:sz w:val="21"/>
                              <w:szCs w:val="21"/>
                            </w:rPr>
                          </w:pPr>
                          <w:r>
                            <w:rPr>
                              <w:rFonts w:hint="eastAsia"/>
                              <w:sz w:val="21"/>
                              <w:szCs w:val="21"/>
                            </w:rPr>
                            <w:t>抚顺市突发环境事件应急预案</w:t>
                          </w:r>
                        </w:p>
                      </w:txbxContent>
                    </v:textbox>
                  </v:shape>
                  <v:line id="直线 715" o:spid="_x0000_s1026" o:spt="20" style="position:absolute;left:2135038;top:2324819;height:0;width:332740;rotation:5898240f;" filled="f" stroked="t" coordsize="21600,21600" o:gfxdata="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pinS8AAAA&#10;3AAAAA8AAAAAAAAAAQAgAAAAIgAAAGRycy9kb3ducmV2LnhtbFBLAQIUABQAAAAIAIdO4kAzLwWe&#10;OwAAADkAAAAQAAAAAAAAAAEAIAAAAAsBAABkcnMvc2hhcGV4bWwueG1sUEsFBgAAAAAGAAYAWwEA&#10;ALUDAAAAAA==&#10;">
                    <v:fill on="f" focussize="0,0"/>
                    <v:stroke color="#000000" joinstyle="round" startarrow="block" endarrow="block"/>
                    <v:imagedata o:title=""/>
                    <o:lock v:ext="edit" aspectratio="f"/>
                  </v:line>
                  <v:shape id="文本框 717" o:spid="_x0000_s1026" o:spt="202" type="#_x0000_t202" style="position:absolute;left:672861;top:698740;height:332105;width:3194685;" fillcolor="#FFFFFF" filled="t" stroked="t" coordsize="21600,21600" o:gfxdata="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On5vL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before="0" w:beforeLines="0" w:line="320" w:lineRule="exact"/>
                            <w:ind w:firstLine="420"/>
                            <w:jc w:val="center"/>
                            <w:rPr>
                              <w:sz w:val="21"/>
                              <w:szCs w:val="21"/>
                            </w:rPr>
                          </w:pPr>
                          <w:r>
                            <w:rPr>
                              <w:rFonts w:hint="eastAsia"/>
                              <w:sz w:val="21"/>
                              <w:szCs w:val="21"/>
                            </w:rPr>
                            <w:t>抚顺市东洲区突发环境事件应急预案</w:t>
                          </w:r>
                        </w:p>
                      </w:txbxContent>
                    </v:textbox>
                  </v:shape>
                  <v:shape id="文本框 717" o:spid="_x0000_s1026" o:spt="202" type="#_x0000_t202" style="position:absolute;left:1682151;top:1362974;height:819785;width:1200150;v-text-anchor:middle;" fillcolor="#FFC000" filled="t" stroked="t" coordsize="21600,21600" o:gfxdata="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NhdSy/&#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spacing w:before="0" w:beforeLines="0" w:line="320" w:lineRule="exact"/>
                            <w:ind w:firstLine="0" w:firstLineChars="0"/>
                            <w:jc w:val="center"/>
                            <w:rPr>
                              <w:sz w:val="21"/>
                              <w:szCs w:val="21"/>
                            </w:rPr>
                          </w:pPr>
                          <w:r>
                            <w:rPr>
                              <w:rFonts w:hint="eastAsia"/>
                              <w:sz w:val="21"/>
                              <w:szCs w:val="21"/>
                            </w:rPr>
                            <w:t>抚顺高新技术产业开发区突发环境事件应急预案</w:t>
                          </w:r>
                        </w:p>
                      </w:txbxContent>
                    </v:textbox>
                  </v:shape>
                  <v:shape id="_x0000_s1026" o:spid="_x0000_s1026" o:spt="32" type="#_x0000_t32" style="position:absolute;left:2277374;top:370936;height:295275;width:0;" filled="f" stroked="t" coordsize="21600,21600" o:gfxdata="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nLJ6EtwAAANwAAAAP&#10;AAAAAAAAAAEAIAAAACIAAABkcnMvZG93bnJldi54bWxQSwECFAAUAAAACACHTuJAMy8FnjsAAAA5&#10;AAAAEAAAAAAAAAABACAAAAAGAQAAZHJzL3NoYXBleG1sLnhtbFBLBQYAAAAABgAGAFsBAACwAwAA&#10;AAA=&#10;">
                    <v:fill on="f" focussize="0,0"/>
                    <v:stroke weight="1pt" color="#000000 [3213]" joinstyle="round" endarrow="block"/>
                    <v:imagedata o:title=""/>
                    <o:lock v:ext="edit" aspectratio="f"/>
                  </v:shape>
                  <v:group id="_x0000_s1026" o:spid="_x0000_s1026" o:spt="203" style="position:absolute;left:138023;top:2794959;height:2619375;width:4352925;" coordorigin="0,28575" coordsize="4352925,2619375" o:gfxdata="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lhigXvwAAANwAAAAPAAAAAAAAAAEAIAAAACIAAABkcnMvZG93bnJldi54&#10;bWxQSwECFAAUAAAACACHTuJAMy8FnjsAAAA5AAAAFQAAAAAAAAABACAAAAAOAQAAZHJzL2dyb3Vw&#10;c2hhcGV4bWwueG1sUEsFBgAAAAAGAAYAYAEAAMsDAAAAAA==&#10;">
                    <o:lock v:ext="edit" aspectratio="f"/>
                    <v:shape id="文本框 2" o:spid="_x0000_s1026" o:spt="202" type="#_x0000_t202" style="position:absolute;left:942975;top:38100;height:2590800;width:514350;" fillcolor="#FFFFFF" filled="t" stroked="t" coordsize="21600,21600" o:gfxdata="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aPNP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before="0" w:beforeLines="0" w:line="240" w:lineRule="auto"/>
                              <w:ind w:firstLine="0" w:firstLineChars="0"/>
                              <w:rPr>
                                <w:sz w:val="21"/>
                                <w:szCs w:val="21"/>
                              </w:rPr>
                            </w:pPr>
                            <w:r>
                              <w:rPr>
                                <w:rFonts w:hint="eastAsia"/>
                                <w:sz w:val="21"/>
                                <w:szCs w:val="21"/>
                              </w:rPr>
                              <w:t>高新一区（核心区）突发环境事件应急预案</w:t>
                            </w:r>
                          </w:p>
                        </w:txbxContent>
                      </v:textbox>
                    </v:shape>
                    <v:shape id="文本框 2" o:spid="_x0000_s1026" o:spt="202" type="#_x0000_t202" style="position:absolute;left:1924050;top:28575;height:2619375;width:523875;" fillcolor="#FFFFFF" filled="t" stroked="t" coordsize="21600,21600" o:gfxdata="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34Ro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spacing w:before="0" w:beforeLines="0" w:line="320" w:lineRule="exact"/>
                              <w:ind w:firstLine="0" w:firstLineChars="0"/>
                              <w:rPr>
                                <w:sz w:val="21"/>
                                <w:szCs w:val="21"/>
                              </w:rPr>
                            </w:pPr>
                            <w:r>
                              <w:rPr>
                                <w:rFonts w:hint="eastAsia"/>
                                <w:sz w:val="21"/>
                                <w:szCs w:val="21"/>
                              </w:rPr>
                              <w:t>高新二区（兰山工业园区）突发环境事件应急预案</w:t>
                            </w:r>
                          </w:p>
                        </w:txbxContent>
                      </v:textbox>
                    </v:shape>
                    <v:shape id="文本框 2" o:spid="_x0000_s1026" o:spt="202" type="#_x0000_t202" style="position:absolute;left:0;top:38100;height:2590800;width:523875;" fillcolor="#FFFFFF" filled="t" stroked="t" coordsize="21600,21600" o:gfxdata="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ZMh87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before="0" w:beforeLines="0" w:line="32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抚顺市再生资源产业园（A园）突发环境事件应急预案</w:t>
                            </w:r>
                          </w:p>
                        </w:txbxContent>
                      </v:textbox>
                    </v:shape>
                    <v:shape id="文本框 2" o:spid="_x0000_s1026" o:spt="202" type="#_x0000_t202" style="position:absolute;left:2914650;top:47625;height:2581275;width:523875;" fillcolor="#FFFFFF" filled="t" stroked="t" coordsize="21600,21600" o:gfxdata="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Bv4S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spacing w:before="0" w:beforeLines="0" w:line="320" w:lineRule="exact"/>
                              <w:ind w:firstLine="0" w:firstLineChars="0"/>
                              <w:rPr>
                                <w:sz w:val="21"/>
                                <w:szCs w:val="21"/>
                              </w:rPr>
                            </w:pPr>
                            <w:r>
                              <w:rPr>
                                <w:rFonts w:hint="eastAsia"/>
                                <w:sz w:val="21"/>
                                <w:szCs w:val="21"/>
                              </w:rPr>
                              <w:t>高新三区（海新工业园区）突发环境事件应急预案</w:t>
                            </w:r>
                          </w:p>
                        </w:txbxContent>
                      </v:textbox>
                    </v:shape>
                    <v:shape id="文本框 2" o:spid="_x0000_s1026" o:spt="202" type="#_x0000_t202" style="position:absolute;left:3829050;top:47625;height:2581275;width:523875;" fillcolor="#FFFFFF" filled="t" stroked="t" coordsize="21600,21600" o:gfxdata="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DRof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spacing w:before="0" w:beforeLines="0" w:line="320" w:lineRule="exact"/>
                              <w:ind w:firstLine="0" w:firstLineChars="0"/>
                              <w:rPr>
                                <w:sz w:val="21"/>
                                <w:szCs w:val="21"/>
                              </w:rPr>
                            </w:pPr>
                            <w:r>
                              <w:rPr>
                                <w:rFonts w:hint="eastAsia"/>
                                <w:sz w:val="21"/>
                                <w:szCs w:val="21"/>
                              </w:rPr>
                              <w:t>高新四区（青䓍沟工业园区）突发环境事件应急预案</w:t>
                            </w:r>
                          </w:p>
                        </w:txbxContent>
                      </v:textbox>
                    </v:shape>
                  </v:group>
                  <v:line id="_x0000_s1026" o:spid="_x0000_s1026" o:spt="20" style="position:absolute;left:431321;top:2475781;height:0;width:3800475;" filled="f" stroked="t" coordsize="21600,21600" o:gfxdata="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zvybsAAADc&#10;AAAADwAAAAAAAAABACAAAAAiAAAAZHJzL2Rvd25yZXYueG1sUEsBAhQAFAAAAAgAh07iQDMvBZ47&#10;AAAAOQAAABAAAAAAAAAAAQAgAAAACgEAAGRycy9zaGFwZXhtbC54bWxQSwUGAAAAAAYABgBbAQAA&#10;tAMAAAAA&#10;">
                    <v:fill on="f" focussize="0,0"/>
                    <v:stroke weight="1pt" color="#000000 [3213]" joinstyle="round"/>
                    <v:imagedata o:title=""/>
                    <o:lock v:ext="edit" aspectratio="f"/>
                  </v:line>
                  <v:line id="_x0000_s1026" o:spid="_x0000_s1026" o:spt="20" style="position:absolute;left:431321;top:2475781;flip:y;height:323850;width:0;" filled="f" stroked="t" coordsize="21600,21600" o:gfxdata="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xKvQAA&#10;ANwAAAAPAAAAAAAAAAEAIAAAACIAAABkcnMvZG93bnJldi54bWxQSwECFAAUAAAACACHTuJAMy8F&#10;njsAAAA5AAAAEAAAAAAAAAABACAAAAAMAQAAZHJzL3NoYXBleG1sLnhtbFBLBQYAAAAABgAGAFsB&#10;AAC2AwAAAAA=&#10;">
                    <v:fill on="f" focussize="0,0"/>
                    <v:stroke weight="1pt" color="#000000 [3213]" joinstyle="round"/>
                    <v:imagedata o:title=""/>
                    <o:lock v:ext="edit" aspectratio="f"/>
                  </v:line>
                  <v:line id="_x0000_s1026" o:spid="_x0000_s1026" o:spt="20" style="position:absolute;left:1345721;top:2475781;flip:y;height:323850;width:0;" filled="f" stroked="t" coordsize="21600,21600" o:gfxdata="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LSdG8AAAA&#10;3AAAAA8AAAAAAAAAAQAgAAAAIgAAAGRycy9kb3ducmV2LnhtbFBLAQIUABQAAAAIAIdO4kAzLwWe&#10;OwAAADkAAAAQAAAAAAAAAAEAIAAAAAsBAABkcnMvc2hhcGV4bWwueG1sUEsFBgAAAAAGAAYAWwEA&#10;ALUDAAAAAA==&#10;">
                    <v:fill on="f" focussize="0,0"/>
                    <v:stroke weight="1pt" color="#000000 [3213]" joinstyle="round"/>
                    <v:imagedata o:title=""/>
                    <o:lock v:ext="edit" aspectratio="f"/>
                  </v:line>
                  <v:line id="_x0000_s1026" o:spid="_x0000_s1026" o:spt="20" style="position:absolute;left:2303253;top:2458528;flip:y;height:323850;width:0;" filled="f" stroked="t" coordsize="21600,21600" o:gfxdata="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Z16a8AAAA&#10;3AAAAA8AAAAAAAAAAQAgAAAAIgAAAGRycy9kb3ducmV2LnhtbFBLAQIUABQAAAAIAIdO4kAzLwWe&#10;OwAAADkAAAAQAAAAAAAAAAEAIAAAAAsBAABkcnMvc2hhcGV4bWwueG1sUEsFBgAAAAAGAAYAWwEA&#10;ALUDAAAAAA==&#10;">
                    <v:fill on="f" focussize="0,0"/>
                    <v:stroke weight="1pt" color="#000000 [3213]" joinstyle="round"/>
                    <v:imagedata o:title=""/>
                    <o:lock v:ext="edit" aspectratio="f"/>
                  </v:line>
                  <v:line id="_x0000_s1026" o:spid="_x0000_s1026" o:spt="20" style="position:absolute;left:3312544;top:2475781;flip:y;height:323850;width:0;" filled="f" stroked="t" coordsize="21600,21600" o:gfxdata="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1VyPbsAAADc&#10;AAAADwAAAAAAAAABACAAAAAiAAAAZHJzL2Rvd25yZXYueG1sUEsBAhQAFAAAAAgAh07iQDMvBZ47&#10;AAAAOQAAABAAAAAAAAAAAQAgAAAACgEAAGRycy9zaGFwZXhtbC54bWxQSwUGAAAAAAYABgBbAQAA&#10;tAMAAAAA&#10;">
                    <v:fill on="f" focussize="0,0"/>
                    <v:stroke weight="1pt" color="#000000 [3213]" joinstyle="round"/>
                    <v:imagedata o:title=""/>
                    <o:lock v:ext="edit" aspectratio="f"/>
                  </v:line>
                  <v:line id="_x0000_s1026" o:spid="_x0000_s1026" o:spt="20" style="position:absolute;left:4226944;top:2475781;flip:y;height:323850;width:0;" filled="f" stroked="t" coordsize="21600,21600" o:gfxdata="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LzqSbsAAADc&#10;AAAADwAAAAAAAAABACAAAAAiAAAAZHJzL2Rvd25yZXYueG1sUEsBAhQAFAAAAAgAh07iQDMvBZ47&#10;AAAAOQAAABAAAAAAAAAAAQAgAAAACgEAAGRycy9zaGFwZXhtbC54bWxQSwUGAAAAAAYABgBbAQAA&#10;tAMAAAAA&#10;">
                    <v:fill on="f" focussize="0,0"/>
                    <v:stroke weight="1pt" color="#000000 [3213]" joinstyle="round"/>
                    <v:imagedata o:title=""/>
                    <o:lock v:ext="edit" aspectratio="f"/>
                  </v:line>
                  <v:line id="直线 715" o:spid="_x0000_s1026" o:spt="20" style="position:absolute;left:1207699;top:1811547;height:0;width:443230;" filled="f" stroked="t" coordsize="21600,21600" o:gfxdata="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xC1AugAAANwA&#10;AAAPAAAAAAAAAAEAIAAAACIAAABkcnMvZG93bnJldi54bWxQSwECFAAUAAAACACHTuJAMy8FnjsA&#10;AAA5AAAAEAAAAAAAAAABACAAAAAJAQAAZHJzL3NoYXBleG1sLnhtbFBLBQYAAAAABgAGAFsBAACz&#10;AwAAAAA=&#10;">
                    <v:fill on="f" focussize="0,0"/>
                    <v:stroke color="#000000" joinstyle="round" startarrow="block" endarrow="block"/>
                    <v:imagedata o:title=""/>
                    <o:lock v:ext="edit" aspectratio="f"/>
                  </v:line>
                  <v:line id="直线 715" o:spid="_x0000_s1026" o:spt="20" style="position:absolute;left:2898476;top:1794294;height:0;width:443230;" filled="f" stroked="t" coordsize="21600,21600" o:gfxdata="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sW7SvQAA&#10;ANwAAAAPAAAAAAAAAAEAIAAAACIAAABkcnMvZG93bnJldi54bWxQSwECFAAUAAAACACHTuJAMy8F&#10;njsAAAA5AAAAEAAAAAAAAAABACAAAAAMAQAAZHJzL3NoYXBleG1sLnhtbFBLBQYAAAAABgAGAFsB&#10;AAC2AwAAAAA=&#10;">
                    <v:fill on="f" focussize="0,0"/>
                    <v:stroke color="#000000" joinstyle="round" startarrow="block" endarrow="block"/>
                    <v:imagedata o:title=""/>
                    <o:lock v:ext="edit" aspectratio="f"/>
                  </v:line>
                  <v:shape id="文本框 717" o:spid="_x0000_s1026" o:spt="202" type="#_x0000_t202" style="position:absolute;left:0;top:1406106;height:819785;width:1200150;v-text-anchor:middle;" fillcolor="#FFFFFF" filled="t" stroked="t" coordsize="21600,21600" o:gfxdata="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uVKk7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before="0" w:beforeLines="0" w:line="320" w:lineRule="exact"/>
                            <w:ind w:firstLine="0" w:firstLineChars="0"/>
                            <w:jc w:val="center"/>
                            <w:rPr>
                              <w:sz w:val="21"/>
                              <w:szCs w:val="21"/>
                            </w:rPr>
                          </w:pPr>
                          <w:r>
                            <w:rPr>
                              <w:rFonts w:hint="eastAsia"/>
                              <w:sz w:val="21"/>
                              <w:szCs w:val="21"/>
                            </w:rPr>
                            <w:t>抚顺高新技术</w:t>
                          </w:r>
                        </w:p>
                        <w:p>
                          <w:pPr>
                            <w:spacing w:before="0" w:beforeLines="0" w:line="320" w:lineRule="exact"/>
                            <w:ind w:firstLine="0" w:firstLineChars="0"/>
                            <w:jc w:val="center"/>
                            <w:rPr>
                              <w:sz w:val="21"/>
                              <w:szCs w:val="21"/>
                            </w:rPr>
                          </w:pPr>
                          <w:r>
                            <w:rPr>
                              <w:rFonts w:hint="eastAsia"/>
                              <w:sz w:val="21"/>
                              <w:szCs w:val="21"/>
                            </w:rPr>
                            <w:t>产业开发区</w:t>
                          </w:r>
                        </w:p>
                        <w:p>
                          <w:pPr>
                            <w:spacing w:before="0" w:beforeLines="0" w:line="320" w:lineRule="exact"/>
                            <w:ind w:firstLine="0" w:firstLineChars="0"/>
                            <w:jc w:val="center"/>
                            <w:rPr>
                              <w:sz w:val="21"/>
                              <w:szCs w:val="21"/>
                            </w:rPr>
                          </w:pPr>
                          <w:r>
                            <w:rPr>
                              <w:rFonts w:hint="eastAsia"/>
                              <w:sz w:val="21"/>
                              <w:szCs w:val="21"/>
                            </w:rPr>
                            <w:t>消防应急预案</w:t>
                          </w:r>
                        </w:p>
                      </w:txbxContent>
                    </v:textbox>
                  </v:shape>
                  <v:shape id="文本框 717" o:spid="_x0000_s1026" o:spt="202" type="#_x0000_t202" style="position:absolute;left:3390182;top:1380226;height:819785;width:1200150;v-text-anchor:middle;" fillcolor="#FFFFFF" filled="t" stroked="t" coordsize="21600,21600" o:gfxdata="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N63uG5AAAA3AAA&#10;AA8AAAAAAAAAAQAgAAAAIgAAAGRycy9kb3ducmV2LnhtbFBLAQIUABQAAAAIAIdO4kAzLwWeOwAA&#10;ADkAAAAQAAAAAAAAAAEAIAAAAAgBAABkcnMvc2hhcGV4bWwueG1sUEsFBgAAAAAGAAYAWwEAALID&#10;AAAAAA==&#10;">
                    <v:fill on="t" focussize="0,0"/>
                    <v:stroke color="#000000" miterlimit="8" joinstyle="miter"/>
                    <v:imagedata o:title=""/>
                    <o:lock v:ext="edit" aspectratio="f"/>
                    <v:textbox>
                      <w:txbxContent>
                        <w:p>
                          <w:pPr>
                            <w:spacing w:before="0" w:beforeLines="0" w:line="320" w:lineRule="exact"/>
                            <w:ind w:firstLine="0" w:firstLineChars="0"/>
                            <w:jc w:val="center"/>
                            <w:rPr>
                              <w:sz w:val="21"/>
                              <w:szCs w:val="21"/>
                            </w:rPr>
                          </w:pPr>
                          <w:r>
                            <w:rPr>
                              <w:rFonts w:hint="eastAsia"/>
                              <w:sz w:val="21"/>
                              <w:szCs w:val="21"/>
                            </w:rPr>
                            <w:t>抚顺高新技术</w:t>
                          </w:r>
                        </w:p>
                        <w:p>
                          <w:pPr>
                            <w:spacing w:before="0" w:beforeLines="0" w:line="320" w:lineRule="exact"/>
                            <w:ind w:firstLine="0" w:firstLineChars="0"/>
                            <w:jc w:val="center"/>
                            <w:rPr>
                              <w:sz w:val="21"/>
                              <w:szCs w:val="21"/>
                            </w:rPr>
                          </w:pPr>
                          <w:r>
                            <w:rPr>
                              <w:rFonts w:hint="eastAsia"/>
                              <w:sz w:val="21"/>
                              <w:szCs w:val="21"/>
                            </w:rPr>
                            <w:t>产业开发区安全生产应急预案</w:t>
                          </w:r>
                        </w:p>
                      </w:txbxContent>
                    </v:textbox>
                  </v:shape>
                  <v:shape id="_x0000_s1026" o:spid="_x0000_s1026" o:spt="32" type="#_x0000_t32" style="position:absolute;left:2277374;top:1052423;height:295275;width:0;" filled="f" stroked="t" coordsize="21600,21600" o:gfxdata="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tfBytwAAANoAAAAP&#10;AAAAAAAAAAEAIAAAACIAAABkcnMvZG93bnJldi54bWxQSwECFAAUAAAACACHTuJAMy8FnjsAAAA5&#10;AAAAEAAAAAAAAAABACAAAAAGAQAAZHJzL3NoYXBleG1sLnhtbFBLBQYAAAAABgAGAFsBAACwAwAA&#10;AAA=&#10;">
                    <v:fill on="f" focussize="0,0"/>
                    <v:stroke weight="1pt" color="#000000 [3213]" joinstyle="round" endarrow="block"/>
                    <v:imagedata o:title=""/>
                    <o:lock v:ext="edit" aspectratio="f"/>
                  </v:shape>
                </v:group>
              </v:group>
            </w:pict>
          </mc:Fallback>
        </mc:AlternateContent>
      </w:r>
    </w:p>
    <w:p>
      <w:pPr>
        <w:spacing w:before="0" w:beforeLines="0"/>
        <w:ind w:firstLine="480"/>
      </w:pPr>
    </w:p>
    <w:p>
      <w:pPr>
        <w:spacing w:before="0" w:beforeLines="0"/>
        <w:ind w:firstLine="480"/>
      </w:pPr>
    </w:p>
    <w:p>
      <w:pPr>
        <w:pStyle w:val="2"/>
        <w:spacing w:before="163"/>
        <w:ind w:firstLine="480"/>
      </w:pPr>
    </w:p>
    <w:p>
      <w:pPr>
        <w:spacing w:before="163"/>
        <w:ind w:firstLine="480"/>
        <w:rPr>
          <w:rFonts w:ascii="宋体"/>
        </w:rPr>
      </w:pPr>
      <w:r>
        <w:rPr>
          <w:rFonts w:hint="eastAsia" w:ascii="宋体" w:hAnsi="宋体"/>
        </w:rPr>
        <w:t xml:space="preserve"> </w:t>
      </w: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spacing w:before="163"/>
        <w:ind w:firstLine="480"/>
        <w:rPr>
          <w:rFonts w:ascii="宋体"/>
        </w:rPr>
      </w:pPr>
    </w:p>
    <w:p>
      <w:pPr>
        <w:pStyle w:val="2"/>
        <w:rPr>
          <w:rFonts w:ascii="宋体"/>
        </w:rPr>
      </w:pPr>
    </w:p>
    <w:p>
      <w:pPr>
        <w:pStyle w:val="2"/>
        <w:rPr>
          <w:rFonts w:ascii="宋体"/>
        </w:rPr>
      </w:pPr>
    </w:p>
    <w:p>
      <w:pPr>
        <w:pStyle w:val="3"/>
        <w:spacing w:before="156"/>
        <w:ind w:left="321" w:hanging="321"/>
        <w:rPr>
          <w:color w:val="000000" w:themeColor="text1"/>
          <w:szCs w:val="32"/>
          <w14:textFill>
            <w14:solidFill>
              <w14:schemeClr w14:val="tx1"/>
            </w14:solidFill>
          </w14:textFill>
        </w:rPr>
      </w:pPr>
      <w:bookmarkStart w:id="27" w:name="_Toc116110884"/>
      <w:r>
        <w:rPr>
          <w:color w:val="000000" w:themeColor="text1"/>
          <w:szCs w:val="32"/>
          <w14:textFill>
            <w14:solidFill>
              <w14:schemeClr w14:val="tx1"/>
            </w14:solidFill>
          </w14:textFill>
        </w:rPr>
        <w:t>2</w:t>
      </w:r>
      <w:r>
        <w:rPr>
          <w:rFonts w:hint="eastAsia"/>
          <w:color w:val="000000" w:themeColor="text1"/>
          <w:szCs w:val="32"/>
          <w14:textFill>
            <w14:solidFill>
              <w14:schemeClr w14:val="tx1"/>
            </w14:solidFill>
          </w14:textFill>
        </w:rPr>
        <w:t>应急组织指挥体系与职责</w:t>
      </w:r>
      <w:bookmarkEnd w:id="27"/>
    </w:p>
    <w:p>
      <w:pPr>
        <w:spacing w:before="0" w:beforeLines="0"/>
        <w:ind w:firstLine="480"/>
        <w:rPr>
          <w:rFonts w:asciiTheme="majorEastAsia" w:hAnsiTheme="majorEastAsia" w:eastAsiaTheme="majorEastAsia"/>
        </w:rPr>
      </w:pPr>
      <w:r>
        <w:rPr>
          <w:rFonts w:hint="eastAsia" w:asciiTheme="majorEastAsia" w:hAnsiTheme="majorEastAsia" w:eastAsiaTheme="majorEastAsia"/>
        </w:rPr>
        <w:t>抚顺高新技术产业园区</w:t>
      </w:r>
      <w:r>
        <w:rPr>
          <w:rFonts w:asciiTheme="majorEastAsia" w:hAnsiTheme="majorEastAsia" w:eastAsiaTheme="majorEastAsia"/>
        </w:rPr>
        <w:t>突发环境事件应急组织体系</w:t>
      </w:r>
      <w:r>
        <w:rPr>
          <w:rFonts w:hint="eastAsia" w:asciiTheme="majorEastAsia" w:hAnsiTheme="majorEastAsia" w:eastAsiaTheme="majorEastAsia"/>
        </w:rPr>
        <w:t>由高新区应急救援领导小组（一级指挥），现场应急救援指挥部（二级指挥）、应急救援指挥部办公室和应急救援工作组（工作机构）组成。抚顺高新技术产业园区三级环境应急组织体系，将石化消防大队和区域内石油二厂、烯烃厂等大型石化国有企业应急指挥体系进行整合，可以快速高动园区应急救援力量，尽最大可能减轻突发环境事件对环境影响和对人员的伤害。高新区救援组织体系见图2-1。</w:t>
      </w:r>
    </w:p>
    <w:p>
      <w:pPr>
        <w:pStyle w:val="29"/>
        <w:spacing w:before="163"/>
        <w:ind w:left="480" w:firstLine="48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6432" behindDoc="0" locked="0" layoutInCell="1" allowOverlap="1">
                <wp:simplePos x="0" y="0"/>
                <wp:positionH relativeFrom="column">
                  <wp:posOffset>268605</wp:posOffset>
                </wp:positionH>
                <wp:positionV relativeFrom="paragraph">
                  <wp:posOffset>346710</wp:posOffset>
                </wp:positionV>
                <wp:extent cx="4733925" cy="3114675"/>
                <wp:effectExtent l="0" t="0" r="28575" b="28575"/>
                <wp:wrapNone/>
                <wp:docPr id="9" name="组合 9"/>
                <wp:cNvGraphicFramePr/>
                <a:graphic xmlns:a="http://schemas.openxmlformats.org/drawingml/2006/main">
                  <a:graphicData uri="http://schemas.microsoft.com/office/word/2010/wordprocessingGroup">
                    <wpg:wgp>
                      <wpg:cNvGrpSpPr/>
                      <wpg:grpSpPr>
                        <a:xfrm>
                          <a:off x="0" y="0"/>
                          <a:ext cx="4733925" cy="3114675"/>
                          <a:chOff x="0" y="0"/>
                          <a:chExt cx="4733925" cy="3114675"/>
                        </a:xfrm>
                      </wpg:grpSpPr>
                      <wps:wsp>
                        <wps:cNvPr id="6" name="矩形 6"/>
                        <wps:cNvSpPr/>
                        <wps:spPr>
                          <a:xfrm>
                            <a:off x="1304925" y="0"/>
                            <a:ext cx="1895475" cy="3143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rPr>
                                  <w:sz w:val="21"/>
                                  <w:szCs w:val="21"/>
                                </w:rPr>
                              </w:pPr>
                              <w:r>
                                <w:rPr>
                                  <w:rFonts w:hint="eastAsia"/>
                                  <w:sz w:val="21"/>
                                  <w:szCs w:val="21"/>
                                </w:rPr>
                                <w:t>高新区应急救援领导小组</w:t>
                              </w:r>
                            </w:p>
                          </w:txbxContent>
                        </wps:txbx>
                        <wps:bodyPr upright="1">
                          <a:noAutofit/>
                        </wps:bodyPr>
                      </wps:wsp>
                      <wps:wsp>
                        <wps:cNvPr id="7" name="直接箭头连接符 7"/>
                        <wps:cNvCnPr/>
                        <wps:spPr>
                          <a:xfrm>
                            <a:off x="161925" y="1457325"/>
                            <a:ext cx="4391025" cy="0"/>
                          </a:xfrm>
                          <a:prstGeom prst="straightConnector1">
                            <a:avLst/>
                          </a:prstGeom>
                          <a:ln w="9525" cap="flat" cmpd="sng">
                            <a:solidFill>
                              <a:srgbClr val="000000"/>
                            </a:solidFill>
                            <a:prstDash val="solid"/>
                            <a:headEnd type="none" w="med" len="med"/>
                            <a:tailEnd type="none" w="med" len="med"/>
                          </a:ln>
                        </wps:spPr>
                        <wps:bodyPr/>
                      </wps:wsp>
                      <wps:wsp>
                        <wps:cNvPr id="8" name="直接箭头连接符 8"/>
                        <wps:cNvCnPr/>
                        <wps:spPr>
                          <a:xfrm>
                            <a:off x="2238375" y="333375"/>
                            <a:ext cx="1270" cy="534035"/>
                          </a:xfrm>
                          <a:prstGeom prst="straightConnector1">
                            <a:avLst/>
                          </a:prstGeom>
                          <a:ln w="9525" cap="flat" cmpd="sng">
                            <a:solidFill>
                              <a:srgbClr val="000000"/>
                            </a:solidFill>
                            <a:prstDash val="solid"/>
                            <a:headEnd type="none" w="med" len="med"/>
                            <a:tailEnd type="triangle" w="med" len="med"/>
                          </a:ln>
                        </wps:spPr>
                        <wps:bodyPr/>
                      </wps:wsp>
                      <wps:wsp>
                        <wps:cNvPr id="16" name="矩形 16"/>
                        <wps:cNvSpPr/>
                        <wps:spPr>
                          <a:xfrm>
                            <a:off x="28575" y="409575"/>
                            <a:ext cx="1429385" cy="297180"/>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rPr>
                                  <w:sz w:val="21"/>
                                  <w:szCs w:val="21"/>
                                </w:rPr>
                              </w:pPr>
                              <w:r>
                                <w:rPr>
                                  <w:rFonts w:hint="eastAsia"/>
                                  <w:sz w:val="21"/>
                                  <w:szCs w:val="21"/>
                                </w:rPr>
                                <w:t>应急指挥部办公室</w:t>
                              </w:r>
                            </w:p>
                          </w:txbxContent>
                        </wps:txbx>
                        <wps:bodyPr upright="1"/>
                      </wps:wsp>
                      <wps:wsp>
                        <wps:cNvPr id="155" name="矩形 155"/>
                        <wps:cNvSpPr/>
                        <wps:spPr>
                          <a:xfrm>
                            <a:off x="1533525" y="857250"/>
                            <a:ext cx="1429385" cy="297180"/>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rPr>
                                  <w:sz w:val="21"/>
                                  <w:szCs w:val="21"/>
                                </w:rPr>
                              </w:pPr>
                              <w:r>
                                <w:rPr>
                                  <w:rFonts w:hint="eastAsia"/>
                                  <w:sz w:val="21"/>
                                  <w:szCs w:val="21"/>
                                </w:rPr>
                                <w:t>现场应急指挥部</w:t>
                              </w:r>
                            </w:p>
                          </w:txbxContent>
                        </wps:txbx>
                        <wps:bodyPr upright="1"/>
                      </wps:wsp>
                      <wps:wsp>
                        <wps:cNvPr id="156" name="直接箭头连接符 156"/>
                        <wps:cNvCnPr/>
                        <wps:spPr>
                          <a:xfrm>
                            <a:off x="1457325" y="552450"/>
                            <a:ext cx="78041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7" name="直接箭头连接符 157"/>
                        <wps:cNvCnPr/>
                        <wps:spPr>
                          <a:xfrm>
                            <a:off x="2238375" y="1152525"/>
                            <a:ext cx="0" cy="295275"/>
                          </a:xfrm>
                          <a:prstGeom prst="straightConnector1">
                            <a:avLst/>
                          </a:prstGeom>
                          <a:ln w="9525" cap="flat" cmpd="sng">
                            <a:solidFill>
                              <a:srgbClr val="000000"/>
                            </a:solidFill>
                            <a:prstDash val="solid"/>
                            <a:headEnd type="none" w="med" len="med"/>
                            <a:tailEnd type="triangle" w="med" len="med"/>
                          </a:ln>
                        </wps:spPr>
                        <wps:bodyPr/>
                      </wps:wsp>
                      <wpg:grpSp>
                        <wpg:cNvPr id="159" name="组合 159"/>
                        <wpg:cNvGrpSpPr/>
                        <wpg:grpSpPr>
                          <a:xfrm>
                            <a:off x="0" y="1457325"/>
                            <a:ext cx="352425" cy="1647825"/>
                            <a:chOff x="0" y="0"/>
                            <a:chExt cx="352425" cy="1647825"/>
                          </a:xfrm>
                        </wpg:grpSpPr>
                        <wps:wsp>
                          <wps:cNvPr id="1" name="矩形 1"/>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紧急救援组</w:t>
                                </w:r>
                              </w:p>
                            </w:txbxContent>
                          </wps:txbx>
                          <wps:bodyPr wrap="square" upright="1">
                            <a:noAutofit/>
                          </wps:bodyPr>
                        </wps:wsp>
                        <wps:wsp>
                          <wps:cNvPr id="158" name="直接箭头连接符 158"/>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60" name="组合 160"/>
                        <wpg:cNvGrpSpPr/>
                        <wpg:grpSpPr>
                          <a:xfrm>
                            <a:off x="1666875" y="1466850"/>
                            <a:ext cx="352425" cy="1647825"/>
                            <a:chOff x="0" y="0"/>
                            <a:chExt cx="352425" cy="1647825"/>
                          </a:xfrm>
                        </wpg:grpSpPr>
                        <wps:wsp>
                          <wps:cNvPr id="161" name="矩形 161"/>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通讯联络组</w:t>
                                </w:r>
                              </w:p>
                            </w:txbxContent>
                          </wps:txbx>
                          <wps:bodyPr wrap="square" upright="1">
                            <a:noAutofit/>
                          </wps:bodyPr>
                        </wps:wsp>
                        <wps:wsp>
                          <wps:cNvPr id="162" name="直接箭头连接符 162"/>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63" name="组合 163"/>
                        <wpg:cNvGrpSpPr/>
                        <wpg:grpSpPr>
                          <a:xfrm>
                            <a:off x="800100" y="1457325"/>
                            <a:ext cx="352425" cy="1647825"/>
                            <a:chOff x="0" y="0"/>
                            <a:chExt cx="352425" cy="1647825"/>
                          </a:xfrm>
                        </wpg:grpSpPr>
                        <wps:wsp>
                          <wps:cNvPr id="164" name="矩形 164"/>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物质保障组</w:t>
                                </w:r>
                              </w:p>
                            </w:txbxContent>
                          </wps:txbx>
                          <wps:bodyPr wrap="square" upright="1">
                            <a:noAutofit/>
                          </wps:bodyPr>
                        </wps:wsp>
                        <wps:wsp>
                          <wps:cNvPr id="165" name="直接箭头连接符 165"/>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66" name="组合 166"/>
                        <wpg:cNvGrpSpPr/>
                        <wpg:grpSpPr>
                          <a:xfrm>
                            <a:off x="2505075" y="1466850"/>
                            <a:ext cx="352425" cy="1647825"/>
                            <a:chOff x="0" y="0"/>
                            <a:chExt cx="352425" cy="1647825"/>
                          </a:xfrm>
                        </wpg:grpSpPr>
                        <wps:wsp>
                          <wps:cNvPr id="167" name="矩形 167"/>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环境监测组</w:t>
                                </w:r>
                              </w:p>
                            </w:txbxContent>
                          </wps:txbx>
                          <wps:bodyPr wrap="square" upright="1">
                            <a:noAutofit/>
                          </wps:bodyPr>
                        </wps:wsp>
                        <wps:wsp>
                          <wps:cNvPr id="168" name="直接箭头连接符 168"/>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69" name="组合 169"/>
                        <wpg:cNvGrpSpPr/>
                        <wpg:grpSpPr>
                          <a:xfrm>
                            <a:off x="4381500" y="1466850"/>
                            <a:ext cx="352425" cy="1647825"/>
                            <a:chOff x="0" y="0"/>
                            <a:chExt cx="352425" cy="1647825"/>
                          </a:xfrm>
                        </wpg:grpSpPr>
                        <wps:wsp>
                          <wps:cNvPr id="170" name="矩形 170"/>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技术专家组</w:t>
                                </w:r>
                              </w:p>
                            </w:txbxContent>
                          </wps:txbx>
                          <wps:bodyPr wrap="square" upright="1">
                            <a:noAutofit/>
                          </wps:bodyPr>
                        </wps:wsp>
                        <wps:wsp>
                          <wps:cNvPr id="171" name="直接箭头连接符 171"/>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72" name="组合 172"/>
                        <wpg:cNvGrpSpPr/>
                        <wpg:grpSpPr>
                          <a:xfrm>
                            <a:off x="3438525" y="1466850"/>
                            <a:ext cx="352425" cy="1647825"/>
                            <a:chOff x="0" y="0"/>
                            <a:chExt cx="352425" cy="1647825"/>
                          </a:xfrm>
                        </wpg:grpSpPr>
                        <wps:wsp>
                          <wps:cNvPr id="173" name="矩形 173"/>
                          <wps:cNvSpPr/>
                          <wps:spPr>
                            <a:xfrm>
                              <a:off x="0" y="381000"/>
                              <a:ext cx="352425" cy="1266825"/>
                            </a:xfrm>
                            <a:prstGeom prst="rect">
                              <a:avLst/>
                            </a:prstGeom>
                            <a:noFill/>
                            <a:ln w="9525" cap="flat" cmpd="sng">
                              <a:solidFill>
                                <a:srgbClr val="000000"/>
                              </a:solidFill>
                              <a:prstDash val="solid"/>
                              <a:miter/>
                              <a:headEnd type="none" w="med" len="med"/>
                              <a:tailEnd type="none" w="med" len="med"/>
                            </a:ln>
                          </wps:spPr>
                          <wps:txbx>
                            <w:txbxContent>
                              <w:p>
                                <w:pPr>
                                  <w:spacing w:before="0" w:beforeLines="0" w:line="240" w:lineRule="auto"/>
                                  <w:ind w:firstLine="0" w:firstLineChars="0"/>
                                  <w:jc w:val="center"/>
                                </w:pPr>
                                <w:r>
                                  <w:rPr>
                                    <w:rFonts w:hint="eastAsia"/>
                                  </w:rPr>
                                  <w:t>疏散引导组</w:t>
                                </w:r>
                              </w:p>
                            </w:txbxContent>
                          </wps:txbx>
                          <wps:bodyPr wrap="square" upright="1">
                            <a:noAutofit/>
                          </wps:bodyPr>
                        </wps:wsp>
                        <wps:wsp>
                          <wps:cNvPr id="174" name="直接箭头连接符 174"/>
                          <wps:cNvCnPr/>
                          <wps:spPr>
                            <a:xfrm>
                              <a:off x="161925" y="0"/>
                              <a:ext cx="0" cy="3714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1.15pt;margin-top:27.3pt;height:245.25pt;width:372.75pt;z-index:251666432;mso-width-relative:page;mso-height-relative:page;" coordsize="4733925,3114675" o:gfxdata="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">
                <o:lock v:ext="edit" aspectratio="f"/>
                <v:rect id="_x0000_s1026" o:spid="_x0000_s1026" o:spt="1" style="position:absolute;left:1304925;top:0;height:314325;width:1895475;" filled="f" stroked="t" coordsize="21600,21600" o:gfxdata="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nJJo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spacing w:before="0" w:beforeLines="0" w:line="240" w:lineRule="auto"/>
                          <w:ind w:firstLine="0" w:firstLineChars="0"/>
                          <w:jc w:val="center"/>
                          <w:rPr>
                            <w:sz w:val="21"/>
                            <w:szCs w:val="21"/>
                          </w:rPr>
                        </w:pPr>
                        <w:r>
                          <w:rPr>
                            <w:rFonts w:hint="eastAsia"/>
                            <w:sz w:val="21"/>
                            <w:szCs w:val="21"/>
                          </w:rPr>
                          <w:t>高新区应急救援领导小组</w:t>
                        </w:r>
                      </w:p>
                    </w:txbxContent>
                  </v:textbox>
                </v:rect>
                <v:shape id="_x0000_s1026" o:spid="_x0000_s1026" o:spt="32" type="#_x0000_t32" style="position:absolute;left:161925;top:1457325;height:0;width:4391025;" filled="f" stroked="t" coordsize="21600,21600" o:gfxdata="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Tpe6vQAA&#10;ANo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_x0000_s1026" o:spid="_x0000_s1026" o:spt="32" type="#_x0000_t32" style="position:absolute;left:2238375;top:333375;height:534035;width:1270;" filled="f" stroked="t" coordsize="21600,21600" o:gfxdata="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0dEi5AAAA2gAA&#10;AA8AAAAAAAAAAQAgAAAAIgAAAGRycy9kb3ducmV2LnhtbFBLAQIUABQAAAAIAIdO4kAzLwWeOwAA&#10;ADkAAAAQAAAAAAAAAAEAIAAAAAgBAABkcnMvc2hhcGV4bWwueG1sUEsFBgAAAAAGAAYAWwEAALID&#10;AAAAAA==&#10;">
                  <v:fill on="f" focussize="0,0"/>
                  <v:stroke color="#000000" joinstyle="round" endarrow="block"/>
                  <v:imagedata o:title=""/>
                  <o:lock v:ext="edit" aspectratio="f"/>
                </v:shape>
                <v:rect id="_x0000_s1026" o:spid="_x0000_s1026" o:spt="1" style="position:absolute;left:28575;top:409575;height:297180;width:1429385;" filled="f" stroked="t" coordsize="21600,21600" o:gfxdata="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0sXsL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spacing w:before="0" w:beforeLines="0" w:line="240" w:lineRule="auto"/>
                          <w:ind w:firstLine="0" w:firstLineChars="0"/>
                          <w:jc w:val="center"/>
                          <w:rPr>
                            <w:sz w:val="21"/>
                            <w:szCs w:val="21"/>
                          </w:rPr>
                        </w:pPr>
                        <w:r>
                          <w:rPr>
                            <w:rFonts w:hint="eastAsia"/>
                            <w:sz w:val="21"/>
                            <w:szCs w:val="21"/>
                          </w:rPr>
                          <w:t>应急指挥部办公室</w:t>
                        </w:r>
                      </w:p>
                    </w:txbxContent>
                  </v:textbox>
                </v:rect>
                <v:rect id="_x0000_s1026" o:spid="_x0000_s1026" o:spt="1" style="position:absolute;left:1533525;top:857250;height:297180;width:1429385;" filled="f" stroked="t" coordsize="21600,21600" o:gfxdata="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2tXl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spacing w:before="0" w:beforeLines="0" w:line="240" w:lineRule="auto"/>
                          <w:ind w:firstLine="0" w:firstLineChars="0"/>
                          <w:jc w:val="center"/>
                          <w:rPr>
                            <w:sz w:val="21"/>
                            <w:szCs w:val="21"/>
                          </w:rPr>
                        </w:pPr>
                        <w:r>
                          <w:rPr>
                            <w:rFonts w:hint="eastAsia"/>
                            <w:sz w:val="21"/>
                            <w:szCs w:val="21"/>
                          </w:rPr>
                          <w:t>现场应急指挥部</w:t>
                        </w:r>
                      </w:p>
                    </w:txbxContent>
                  </v:textbox>
                </v:rect>
                <v:shape id="_x0000_s1026" o:spid="_x0000_s1026" o:spt="32" type="#_x0000_t32" style="position:absolute;left:1457325;top:552450;height:0;width:780415;" filled="f" stroked="t" coordsize="21600,21600" o:gfxdata="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zg5augAAANwA&#10;AAAPAAAAAAAAAAEAIAAAACIAAABkcnMvZG93bnJldi54bWxQSwECFAAUAAAACACHTuJAMy8FnjsA&#10;AAA5AAAAEAAAAAAAAAABACAAAAAJAQAAZHJzL3NoYXBleG1sLnhtbFBLBQYAAAAABgAGAFsBAACz&#10;AwAAAAA=&#10;">
                  <v:fill on="f" focussize="0,0"/>
                  <v:stroke weight="1pt" color="#000000 [3213]" joinstyle="round" endarrow="block"/>
                  <v:imagedata o:title=""/>
                  <o:lock v:ext="edit" aspectratio="f"/>
                </v:shape>
                <v:shape id="_x0000_s1026" o:spid="_x0000_s1026" o:spt="32" type="#_x0000_t32" style="position:absolute;left:2238375;top:1152525;height:295275;width:0;" filled="f" stroked="t" coordsize="21600,21600" o:gfxdata="UEsDBAoAAAAAAIdO4kAAAAAAAAAAAAAAAAAEAAAAZHJzL1BLAwQUAAAACACHTuJAViZ+Zr0AAADc&#10;AAAADwAAAGRycy9kb3ducmV2LnhtbEVPS2sCMRC+C/0PYQreatZCt3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Jn5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id="_x0000_s1026" o:spid="_x0000_s1026" o:spt="203" style="position:absolute;left:0;top:1457325;height:1647825;width:352425;" coordsize="352425,1647825" o:gfxdata="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PExtRvAAAANwAAAAPAAAAAAAAAAEAIAAAACIAAABkcnMvZG93bnJldi54bWxQ&#10;SwECFAAUAAAACACHTuJAMy8FnjsAAAA5AAAAFQAAAAAAAAABACAAAAALAQAAZHJzL2dyb3Vwc2hh&#10;cGV4bWwueG1sUEsFBgAAAAAGAAYAYAEAAMgDAAAAAA==&#10;">
                  <o:lock v:ext="edit" aspectratio="f"/>
                  <v:rect id="_x0000_s1026" o:spid="_x0000_s1026" o:spt="1" style="position:absolute;left:0;top:381000;height:1266825;width:352425;" filled="f" stroked="t" coordsize="21600,21600" o:gfxdata="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3UKHLgAAADa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紧急救援组</w:t>
                          </w:r>
                        </w:p>
                      </w:txbxContent>
                    </v:textbox>
                  </v:rect>
                  <v:shape id="_x0000_s1026" o:spid="_x0000_s1026" o:spt="32" type="#_x0000_t32" style="position:absolute;left:161925;top:0;height:371475;width:0;" filled="f" stroked="t" coordsize="21600,21600" o:gfxdata="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dP7O8AAAA&#10;3AAAAA8AAAAAAAAAAQAgAAAAIgAAAGRycy9kb3ducmV2LnhtbFBLAQIUABQAAAAIAIdO4kAzLwWe&#10;OwAAADkAAAAQAAAAAAAAAAEAIAAAAAsBAABkcnMvc2hhcGV4bWwueG1sUEsFBgAAAAAGAAYAWwEA&#10;ALUDAAAAAA==&#10;">
                    <v:fill on="f" focussize="0,0"/>
                    <v:stroke weight="1pt" color="#000000 [3213]" joinstyle="round" endarrow="block"/>
                    <v:imagedata o:title=""/>
                    <o:lock v:ext="edit" aspectratio="f"/>
                  </v:shape>
                </v:group>
                <v:group id="_x0000_s1026" o:spid="_x0000_s1026" o:spt="203" style="position:absolute;left:1666875;top:1466850;height:1647825;width:352425;" coordsize="352425,1647825" o:gfxdata="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BFeHG+AAAA3AAAAA8AAAAAAAAAAQAgAAAAIgAAAGRycy9kb3ducmV2Lnht&#10;bFBLAQIUABQAAAAIAIdO4kAzLwWeOwAAADkAAAAVAAAAAAAAAAEAIAAAAA0BAABkcnMvZ3JvdXBz&#10;aGFwZXhtbC54bWxQSwUGAAAAAAYABgBgAQAAygMAAAAA&#10;">
                  <o:lock v:ext="edit" aspectratio="f"/>
                  <v:rect id="_x0000_s1026" o:spid="_x0000_s1026" o:spt="1" style="position:absolute;left:0;top:381000;height:1266825;width:352425;" filled="f" stroked="t" coordsize="21600,21600" o:gfxdata="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Jsp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通讯联络组</w:t>
                          </w:r>
                        </w:p>
                      </w:txbxContent>
                    </v:textbox>
                  </v:rect>
                  <v:shape id="_x0000_s1026" o:spid="_x0000_s1026" o:spt="32" type="#_x0000_t32" style="position:absolute;left:161925;top:0;height:371475;width:0;" filled="f" stroked="t" coordsize="21600,21600" o:gfxdata="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yZwuS5AAAA3AAA&#10;AA8AAAAAAAAAAQAgAAAAIgAAAGRycy9kb3ducmV2LnhtbFBLAQIUABQAAAAIAIdO4kAzLwWeOwAA&#10;ADkAAAAQAAAAAAAAAAEAIAAAAAgBAABkcnMvc2hhcGV4bWwueG1sUEsFBgAAAAAGAAYAWwEAALID&#10;AAAAAA==&#10;">
                    <v:fill on="f" focussize="0,0"/>
                    <v:stroke weight="1pt" color="#000000 [3213]" joinstyle="round" endarrow="block"/>
                    <v:imagedata o:title=""/>
                    <o:lock v:ext="edit" aspectratio="f"/>
                  </v:shape>
                </v:group>
                <v:group id="_x0000_s1026" o:spid="_x0000_s1026" o:spt="203" style="position:absolute;left:800100;top:1457325;height:1647825;width:352425;" coordsize="352425,1647825" o:gfxdata="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JfmBr0AAADcAAAADwAAAAAAAAABACAAAAAiAAAAZHJzL2Rvd25yZXYueG1s&#10;UEsBAhQAFAAAAAgAh07iQDMvBZ47AAAAOQAAABUAAAAAAAAAAQAgAAAADAEAAGRycy9ncm91cHNo&#10;YXBleG1sLnhtbFBLBQYAAAAABgAGAGABAADJAwAAAAA=&#10;">
                  <o:lock v:ext="edit" aspectratio="f"/>
                  <v:rect id="_x0000_s1026" o:spid="_x0000_s1026" o:spt="1" style="position:absolute;left:0;top:381000;height:1266825;width:352425;" filled="f" stroked="t" coordsize="21600,21600" o:gfxdata="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LOLG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物质保障组</w:t>
                          </w:r>
                        </w:p>
                      </w:txbxContent>
                    </v:textbox>
                  </v:rect>
                  <v:shape id="_x0000_s1026" o:spid="_x0000_s1026" o:spt="32" type="#_x0000_t32" style="position:absolute;left:161925;top:0;height:371475;width:0;" filled="f" stroked="t" coordsize="21600,21600" o:gfxdata="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cFqQugAAANwA&#10;AAAPAAAAAAAAAAEAIAAAACIAAABkcnMvZG93bnJldi54bWxQSwECFAAUAAAACACHTuJAMy8FnjsA&#10;AAA5AAAAEAAAAAAAAAABACAAAAAJAQAAZHJzL3NoYXBleG1sLnhtbFBLBQYAAAAABgAGAFsBAACz&#10;AwAAAAA=&#10;">
                    <v:fill on="f" focussize="0,0"/>
                    <v:stroke weight="1pt" color="#000000 [3213]" joinstyle="round" endarrow="block"/>
                    <v:imagedata o:title=""/>
                    <o:lock v:ext="edit" aspectratio="f"/>
                  </v:shape>
                </v:group>
                <v:group id="_x0000_s1026" o:spid="_x0000_s1026" o:spt="203" style="position:absolute;left:2505075;top:1466850;height:1647825;width:352425;" coordsize="352425,1647825" o:gfxdata="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DgRZ67AAAA3AAAAA8AAAAAAAAAAQAgAAAAIgAAAGRycy9kb3ducmV2LnhtbFBL&#10;AQIUABQAAAAIAIdO4kAzLwWeOwAAADkAAAAVAAAAAAAAAAEAIAAAAAoBAABkcnMvZ3JvdXBzaGFw&#10;ZXhtbC54bWxQSwUGAAAAAAYABgBgAQAAxwMAAAAA&#10;">
                  <o:lock v:ext="edit" aspectratio="f"/>
                  <v:rect id="_x0000_s1026" o:spid="_x0000_s1026" o:spt="1" style="position:absolute;left:0;top:381000;height:1266825;width:352425;" filled="f" stroked="t" coordsize="21600,21600" o:gfxdata="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6Zpsa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环境监测组</w:t>
                          </w:r>
                        </w:p>
                      </w:txbxContent>
                    </v:textbox>
                  </v:rect>
                  <v:shape id="_x0000_s1026" o:spid="_x0000_s1026" o:spt="32" type="#_x0000_t32" style="position:absolute;left:161925;top:0;height:371475;width:0;" filled="f" stroked="t" coordsize="21600,21600" o:gfxdata="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1x9Q68AAAA&#10;3AAAAA8AAAAAAAAAAQAgAAAAIgAAAGRycy9kb3ducmV2LnhtbFBLAQIUABQAAAAIAIdO4kAzLwWe&#10;OwAAADkAAAAQAAAAAAAAAAEAIAAAAAsBAABkcnMvc2hhcGV4bWwueG1sUEsFBgAAAAAGAAYAWwEA&#10;ALUDAAAAAA==&#10;">
                    <v:fill on="f" focussize="0,0"/>
                    <v:stroke weight="1pt" color="#000000 [3213]" joinstyle="round" endarrow="block"/>
                    <v:imagedata o:title=""/>
                    <o:lock v:ext="edit" aspectratio="f"/>
                  </v:shape>
                </v:group>
                <v:group id="_x0000_s1026" o:spid="_x0000_s1026" o:spt="203" style="position:absolute;left:4381500;top:1466850;height:1647825;width:352425;" coordsize="352425,1647825" o:gfxdata="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X/R7L0AAADcAAAADwAAAAAAAAABACAAAAAiAAAAZHJzL2Rvd25yZXYueG1s&#10;UEsBAhQAFAAAAAgAh07iQDMvBZ47AAAAOQAAABUAAAAAAAAAAQAgAAAADAEAAGRycy9ncm91cHNo&#10;YXBleG1sLnhtbFBLBQYAAAAABgAGAGABAADJAwAAAAA=&#10;">
                  <o:lock v:ext="edit" aspectratio="f"/>
                  <v:rect id="_x0000_s1026" o:spid="_x0000_s1026" o:spt="1" style="position:absolute;left:0;top:381000;height:1266825;width:352425;" filled="f" stroked="t" coordsize="21600,21600" o:gfxdata="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mob7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技术专家组</w:t>
                          </w:r>
                        </w:p>
                      </w:txbxContent>
                    </v:textbox>
                  </v:rect>
                  <v:shape id="_x0000_s1026" o:spid="_x0000_s1026" o:spt="32" type="#_x0000_t32" style="position:absolute;left:161925;top:0;height:371475;width:0;" filled="f" stroked="t" coordsize="21600,21600" o:gfxdata="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kspOugAAANwA&#10;AAAPAAAAAAAAAAEAIAAAACIAAABkcnMvZG93bnJldi54bWxQSwECFAAUAAAACACHTuJAMy8FnjsA&#10;AAA5AAAAEAAAAAAAAAABACAAAAAJAQAAZHJzL3NoYXBleG1sLnhtbFBLBQYAAAAABgAGAFsBAACz&#10;AwAAAAA=&#10;">
                    <v:fill on="f" focussize="0,0"/>
                    <v:stroke weight="1pt" color="#000000 [3213]" joinstyle="round" endarrow="block"/>
                    <v:imagedata o:title=""/>
                    <o:lock v:ext="edit" aspectratio="f"/>
                  </v:shape>
                </v:group>
                <v:group id="_x0000_s1026" o:spid="_x0000_s1026" o:spt="203" style="position:absolute;left:3438525;top:1466850;height:1647825;width:352425;" coordsize="352425,1647825"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rect id="_x0000_s1026" o:spid="_x0000_s1026" o:spt="1" style="position:absolute;left:0;top:381000;height:1266825;width:352425;" filled="f" stroked="t" coordsize="21600,21600" o:gfxdata="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7Nhi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spacing w:before="0" w:beforeLines="0" w:line="240" w:lineRule="auto"/>
                            <w:ind w:firstLine="0" w:firstLineChars="0"/>
                            <w:jc w:val="center"/>
                          </w:pPr>
                          <w:r>
                            <w:rPr>
                              <w:rFonts w:hint="eastAsia"/>
                            </w:rPr>
                            <w:t>疏散引导组</w:t>
                          </w:r>
                        </w:p>
                      </w:txbxContent>
                    </v:textbox>
                  </v:rect>
                  <v:shape id="_x0000_s1026" o:spid="_x0000_s1026" o:spt="32" type="#_x0000_t32" style="position:absolute;left:161925;top:0;height:371475;width:0;" filled="f" stroked="t" coordsize="21600,21600" o:gfxdata="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5WnWtwAAANwAAAAP&#10;AAAAAAAAAAEAIAAAACIAAABkcnMvZG93bnJldi54bWxQSwECFAAUAAAACACHTuJAMy8FnjsAAAA5&#10;AAAAEAAAAAAAAAABACAAAAAGAQAAZHJzL3NoYXBleG1sLnhtbFBLBQYAAAAABgAGAFsBAACwAwAA&#10;AAA=&#10;">
                    <v:fill on="f" focussize="0,0"/>
                    <v:stroke weight="1pt" color="#000000 [3213]" joinstyle="round" endarrow="block"/>
                    <v:imagedata o:title=""/>
                    <o:lock v:ext="edit" aspectratio="f"/>
                  </v:shape>
                </v:group>
              </v:group>
            </w:pict>
          </mc:Fallback>
        </mc:AlternateContent>
      </w:r>
    </w:p>
    <w:p>
      <w:pPr>
        <w:pStyle w:val="29"/>
        <w:spacing w:before="163"/>
        <w:ind w:left="480"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pStyle w:val="29"/>
        <w:spacing w:before="163"/>
        <w:ind w:left="480"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r>
        <w:rPr>
          <w:rFonts w:hint="eastAsia" w:ascii="宋体"/>
        </w:rPr>
        <mc:AlternateContent>
          <mc:Choice Requires="wps">
            <w:drawing>
              <wp:anchor distT="0" distB="0" distL="114300" distR="114300" simplePos="0" relativeHeight="251670528" behindDoc="0" locked="0" layoutInCell="1" allowOverlap="1">
                <wp:simplePos x="0" y="0"/>
                <wp:positionH relativeFrom="column">
                  <wp:posOffset>1547495</wp:posOffset>
                </wp:positionH>
                <wp:positionV relativeFrom="paragraph">
                  <wp:posOffset>178435</wp:posOffset>
                </wp:positionV>
                <wp:extent cx="2522220" cy="405130"/>
                <wp:effectExtent l="0" t="0" r="0" b="0"/>
                <wp:wrapNone/>
                <wp:docPr id="17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2220" cy="405130"/>
                        </a:xfrm>
                        <a:prstGeom prst="rect">
                          <a:avLst/>
                        </a:prstGeom>
                        <a:solidFill>
                          <a:srgbClr val="FFFFFF"/>
                        </a:solidFill>
                        <a:ln>
                          <a:noFill/>
                        </a:ln>
                      </wps:spPr>
                      <wps:txbx>
                        <w:txbxContent>
                          <w:p>
                            <w:pPr>
                              <w:spacing w:before="163" w:line="240" w:lineRule="auto"/>
                              <w:ind w:firstLine="420"/>
                              <w:rPr>
                                <w:sz w:val="21"/>
                                <w:szCs w:val="21"/>
                              </w:rPr>
                            </w:pPr>
                            <w:r>
                              <w:rPr>
                                <w:rFonts w:hint="eastAsia" w:ascii="宋体" w:hAnsi="宋体" w:cs="宋体"/>
                                <w:sz w:val="21"/>
                                <w:szCs w:val="21"/>
                              </w:rPr>
                              <w:t>图2-1   园区应急组织体系</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121.85pt;margin-top:14.05pt;height:31.9pt;width:198.6pt;z-index:251670528;mso-width-relative:page;mso-height-relative:page;" fillcolor="#FFFFFF" filled="t" stroked="f" coordsize="21600,21600" o:gfxdata="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OHeQVNcAAAAJAQAADwAAAAAAAAABACAAAAAiAAAAZHJzL2Rvd25yZXYueG1sUEsBAhQAFAAA&#10;AAgAh07iQBA3A00pAgAAQAQAAA4AAAAAAAAAAQAgAAAAJgEAAGRycy9lMm9Eb2MueG1sUEsFBgAA&#10;AAAGAAYAWQEAAMEFAAAAAA==&#10;">
                <v:fill on="t" focussize="0,0"/>
                <v:stroke on="f"/>
                <v:imagedata o:title=""/>
                <o:lock v:ext="edit" aspectratio="f"/>
                <v:textbox>
                  <w:txbxContent>
                    <w:p>
                      <w:pPr>
                        <w:spacing w:before="163" w:line="240" w:lineRule="auto"/>
                        <w:ind w:firstLine="420"/>
                        <w:rPr>
                          <w:sz w:val="21"/>
                          <w:szCs w:val="21"/>
                        </w:rPr>
                      </w:pPr>
                      <w:r>
                        <w:rPr>
                          <w:rFonts w:hint="eastAsia" w:ascii="宋体" w:hAnsi="宋体" w:cs="宋体"/>
                          <w:sz w:val="21"/>
                          <w:szCs w:val="21"/>
                        </w:rPr>
                        <w:t>图2-1   园区应急组织体系</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2707640</wp:posOffset>
                </wp:positionH>
                <wp:positionV relativeFrom="paragraph">
                  <wp:posOffset>8037195</wp:posOffset>
                </wp:positionV>
                <wp:extent cx="2286000" cy="297180"/>
                <wp:effectExtent l="2540" t="0" r="0" b="0"/>
                <wp:wrapNone/>
                <wp:docPr id="177" name="文本框 177"/>
                <wp:cNvGraphicFramePr/>
                <a:graphic xmlns:a="http://schemas.openxmlformats.org/drawingml/2006/main">
                  <a:graphicData uri="http://schemas.microsoft.com/office/word/2010/wordprocessingShape">
                    <wps:wsp>
                      <wps:cNvSpPr txBox="1">
                        <a:spLocks noChangeArrowheads="1"/>
                      </wps:cNvSpPr>
                      <wps:spPr bwMode="auto">
                        <a:xfrm>
                          <a:off x="0" y="0"/>
                          <a:ext cx="2286000" cy="297180"/>
                        </a:xfrm>
                        <a:prstGeom prst="rect">
                          <a:avLst/>
                        </a:prstGeom>
                        <a:noFill/>
                        <a:ln>
                          <a:noFill/>
                        </a:ln>
                      </wps:spPr>
                      <wps:txbx>
                        <w:txbxContent>
                          <w:p>
                            <w:pPr>
                              <w:spacing w:before="163"/>
                              <w:ind w:firstLine="480"/>
                              <w:jc w:val="center"/>
                              <w:rPr>
                                <w:rFonts w:ascii="宋体" w:hAnsi="宋体"/>
                                <w:szCs w:val="21"/>
                              </w:rPr>
                            </w:pPr>
                            <w:r>
                              <w:rPr>
                                <w:rFonts w:hint="eastAsia" w:ascii="宋体" w:hAnsi="宋体"/>
                                <w:szCs w:val="21"/>
                              </w:rPr>
                              <w:t>图3.1-1  公司应急组织体系</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3.2pt;margin-top:632.85pt;height:23.4pt;width:180pt;z-index:251669504;mso-width-relative:page;mso-height-relative:page;" filled="f" stroked="f" coordsize="21600,21600" o:gfxdata="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uye67ZAAAADQEA&#10;AA8AAAAAAAAAAQAgAAAAIgAAAGRycy9kb3ducmV2LnhtbFBLAQIUABQAAAAIAIdO4kCUgnfNGQIA&#10;ABkEAAAOAAAAAAAAAAEAIAAAACgBAABkcnMvZTJvRG9jLnhtbFBLBQYAAAAABgAGAFkBAACzBQAA&#10;AAA=&#10;">
                <v:fill on="f" focussize="0,0"/>
                <v:stroke on="f"/>
                <v:imagedata o:title=""/>
                <o:lock v:ext="edit" aspectratio="f"/>
                <v:textbox>
                  <w:txbxContent>
                    <w:p>
                      <w:pPr>
                        <w:spacing w:before="163"/>
                        <w:ind w:firstLine="480"/>
                        <w:jc w:val="center"/>
                        <w:rPr>
                          <w:rFonts w:ascii="宋体" w:hAnsi="宋体"/>
                          <w:szCs w:val="21"/>
                        </w:rPr>
                      </w:pPr>
                      <w:r>
                        <w:rPr>
                          <w:rFonts w:hint="eastAsia" w:ascii="宋体" w:hAnsi="宋体"/>
                          <w:szCs w:val="21"/>
                        </w:rPr>
                        <w:t>图3.1-1  公司应急组织体系</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2613025</wp:posOffset>
                </wp:positionH>
                <wp:positionV relativeFrom="paragraph">
                  <wp:posOffset>5565775</wp:posOffset>
                </wp:positionV>
                <wp:extent cx="2286000" cy="297180"/>
                <wp:effectExtent l="1270" t="0" r="0" b="1905"/>
                <wp:wrapNone/>
                <wp:docPr id="176" name="文本框 176"/>
                <wp:cNvGraphicFramePr/>
                <a:graphic xmlns:a="http://schemas.openxmlformats.org/drawingml/2006/main">
                  <a:graphicData uri="http://schemas.microsoft.com/office/word/2010/wordprocessingShape">
                    <wps:wsp>
                      <wps:cNvSpPr txBox="1">
                        <a:spLocks noChangeArrowheads="1"/>
                      </wps:cNvSpPr>
                      <wps:spPr bwMode="auto">
                        <a:xfrm>
                          <a:off x="0" y="0"/>
                          <a:ext cx="2286000" cy="297180"/>
                        </a:xfrm>
                        <a:prstGeom prst="rect">
                          <a:avLst/>
                        </a:prstGeom>
                        <a:noFill/>
                        <a:ln>
                          <a:noFill/>
                        </a:ln>
                      </wps:spPr>
                      <wps:txbx>
                        <w:txbxContent>
                          <w:p>
                            <w:pPr>
                              <w:spacing w:before="163"/>
                              <w:ind w:firstLine="480"/>
                              <w:jc w:val="center"/>
                              <w:rPr>
                                <w:rFonts w:ascii="宋体" w:hAnsi="宋体"/>
                                <w:szCs w:val="21"/>
                              </w:rPr>
                            </w:pPr>
                            <w:r>
                              <w:rPr>
                                <w:rFonts w:hint="eastAsia" w:ascii="宋体" w:hAnsi="宋体"/>
                                <w:szCs w:val="21"/>
                              </w:rPr>
                              <w:t>图3.1-1  公司应急组织体系</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5.75pt;margin-top:438.25pt;height:23.4pt;width:180pt;z-index:251668480;mso-width-relative:page;mso-height-relative:page;" filled="f" stroked="f" coordsize="21600,21600" o:gfxdata="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N4Wzq1wAAAAsBAAAP&#10;AAAAAAAAAAEAIAAAACIAAABkcnMvZG93bnJldi54bWxQSwECFAAUAAAACACHTuJAFz53/RkCAAAZ&#10;BAAADgAAAAAAAAABACAAAAAmAQAAZHJzL2Uyb0RvYy54bWxQSwUGAAAAAAYABgBZAQAAsQUAAAAA&#10;">
                <v:fill on="f" focussize="0,0"/>
                <v:stroke on="f"/>
                <v:imagedata o:title=""/>
                <o:lock v:ext="edit" aspectratio="f"/>
                <v:textbox>
                  <w:txbxContent>
                    <w:p>
                      <w:pPr>
                        <w:spacing w:before="163"/>
                        <w:ind w:firstLine="480"/>
                        <w:jc w:val="center"/>
                        <w:rPr>
                          <w:rFonts w:ascii="宋体" w:hAnsi="宋体"/>
                          <w:szCs w:val="21"/>
                        </w:rPr>
                      </w:pPr>
                      <w:r>
                        <w:rPr>
                          <w:rFonts w:hint="eastAsia" w:ascii="宋体" w:hAnsi="宋体"/>
                          <w:szCs w:val="21"/>
                        </w:rPr>
                        <w:t>图3.1-1  公司应急组织体系</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2613025</wp:posOffset>
                </wp:positionH>
                <wp:positionV relativeFrom="paragraph">
                  <wp:posOffset>5565775</wp:posOffset>
                </wp:positionV>
                <wp:extent cx="2286000" cy="297180"/>
                <wp:effectExtent l="1270" t="0" r="0" b="1905"/>
                <wp:wrapNone/>
                <wp:docPr id="175" name="文本框 175"/>
                <wp:cNvGraphicFramePr/>
                <a:graphic xmlns:a="http://schemas.openxmlformats.org/drawingml/2006/main">
                  <a:graphicData uri="http://schemas.microsoft.com/office/word/2010/wordprocessingShape">
                    <wps:wsp>
                      <wps:cNvSpPr txBox="1">
                        <a:spLocks noChangeArrowheads="1"/>
                      </wps:cNvSpPr>
                      <wps:spPr bwMode="auto">
                        <a:xfrm>
                          <a:off x="0" y="0"/>
                          <a:ext cx="2286000" cy="297180"/>
                        </a:xfrm>
                        <a:prstGeom prst="rect">
                          <a:avLst/>
                        </a:prstGeom>
                        <a:noFill/>
                        <a:ln>
                          <a:noFill/>
                        </a:ln>
                      </wps:spPr>
                      <wps:txbx>
                        <w:txbxContent>
                          <w:p>
                            <w:pPr>
                              <w:spacing w:before="163"/>
                              <w:ind w:firstLine="480"/>
                              <w:jc w:val="center"/>
                              <w:rPr>
                                <w:rFonts w:ascii="宋体" w:hAnsi="宋体"/>
                                <w:szCs w:val="21"/>
                              </w:rPr>
                            </w:pPr>
                            <w:r>
                              <w:rPr>
                                <w:rFonts w:hint="eastAsia" w:ascii="宋体" w:hAnsi="宋体"/>
                                <w:szCs w:val="21"/>
                              </w:rPr>
                              <w:t>图3.1-1  公司应急组织体系</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5.75pt;margin-top:438.25pt;height:23.4pt;width:180pt;z-index:251667456;mso-width-relative:page;mso-height-relative:page;" filled="f" stroked="f" coordsize="21600,21600" o:gfxdata="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N4Wzq1wAAAAsBAAAP&#10;AAAAAAAAAAEAIAAAACIAAABkcnMvZG93bnJldi54bWxQSwECFAAUAAAACACHTuJAkvt2rRkCAAAZ&#10;BAAADgAAAAAAAAABACAAAAAmAQAAZHJzL2Uyb0RvYy54bWxQSwUGAAAAAAYABgBZAQAAsQUAAAAA&#10;">
                <v:fill on="f" focussize="0,0"/>
                <v:stroke on="f"/>
                <v:imagedata o:title=""/>
                <o:lock v:ext="edit" aspectratio="f"/>
                <v:textbox>
                  <w:txbxContent>
                    <w:p>
                      <w:pPr>
                        <w:spacing w:before="163"/>
                        <w:ind w:firstLine="480"/>
                        <w:jc w:val="center"/>
                        <w:rPr>
                          <w:rFonts w:ascii="宋体" w:hAnsi="宋体"/>
                          <w:szCs w:val="21"/>
                        </w:rPr>
                      </w:pPr>
                      <w:r>
                        <w:rPr>
                          <w:rFonts w:hint="eastAsia" w:ascii="宋体" w:hAnsi="宋体"/>
                          <w:szCs w:val="21"/>
                        </w:rPr>
                        <w:t>图3.1-1  公司应急组织体系</w:t>
                      </w:r>
                    </w:p>
                  </w:txbxContent>
                </v:textbox>
              </v:shape>
            </w:pict>
          </mc:Fallback>
        </mc:AlternateContent>
      </w:r>
    </w:p>
    <w:p>
      <w:pPr>
        <w:pStyle w:val="4"/>
        <w:spacing w:before="0"/>
        <w:ind w:firstLine="0" w:firstLineChars="0"/>
        <w:rPr>
          <w:color w:val="000000" w:themeColor="text1"/>
          <w:szCs w:val="30"/>
          <w14:textFill>
            <w14:solidFill>
              <w14:schemeClr w14:val="tx1"/>
            </w14:solidFill>
          </w14:textFill>
        </w:rPr>
      </w:pPr>
      <w:bookmarkStart w:id="28" w:name="_Toc116110885"/>
    </w:p>
    <w:p>
      <w:pPr>
        <w:pStyle w:val="4"/>
        <w:spacing w:before="0"/>
        <w:ind w:firstLine="0" w:firstLineChars="0"/>
        <w:rPr>
          <w:rFonts w:ascii="宋体" w:hAnsi="宋体" w:cs="宋体"/>
          <w:color w:val="000000" w:themeColor="text1"/>
          <w:szCs w:val="30"/>
          <w14:textFill>
            <w14:solidFill>
              <w14:schemeClr w14:val="tx1"/>
            </w14:solidFill>
          </w14:textFill>
        </w:rPr>
      </w:pPr>
      <w:r>
        <w:rPr>
          <w:color w:val="000000" w:themeColor="text1"/>
          <w:szCs w:val="30"/>
          <w14:textFill>
            <w14:solidFill>
              <w14:schemeClr w14:val="tx1"/>
            </w14:solidFill>
          </w14:textFill>
        </w:rPr>
        <w:t>2.1</w:t>
      </w:r>
      <w:r>
        <w:rPr>
          <w:rFonts w:hint="eastAsia"/>
          <w:color w:val="000000" w:themeColor="text1"/>
          <w:szCs w:val="30"/>
          <w14:textFill>
            <w14:solidFill>
              <w14:schemeClr w14:val="tx1"/>
            </w14:solidFill>
          </w14:textFill>
        </w:rPr>
        <w:t>高新区</w:t>
      </w:r>
      <w:r>
        <w:rPr>
          <w:rFonts w:hint="eastAsia" w:ascii="宋体" w:hAnsi="宋体" w:cs="宋体"/>
          <w:color w:val="000000" w:themeColor="text1"/>
          <w:szCs w:val="30"/>
          <w14:textFill>
            <w14:solidFill>
              <w14:schemeClr w14:val="tx1"/>
            </w14:solidFill>
          </w14:textFill>
        </w:rPr>
        <w:t>应急指挥机构及职责</w:t>
      </w:r>
      <w:bookmarkEnd w:id="28"/>
    </w:p>
    <w:p>
      <w:pPr>
        <w:pStyle w:val="5"/>
        <w:spacing w:before="0" w:beforeLines="0"/>
        <w:ind w:left="1" w:firstLine="0" w:firstLineChars="0"/>
        <w:rPr>
          <w:color w:val="000000" w:themeColor="text1"/>
          <w:szCs w:val="28"/>
          <w14:textFill>
            <w14:solidFill>
              <w14:schemeClr w14:val="tx1"/>
            </w14:solidFill>
          </w14:textFill>
        </w:rPr>
      </w:pPr>
      <w:bookmarkStart w:id="29" w:name="_Toc116110886"/>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1</w:t>
      </w:r>
      <w:r>
        <w:rPr>
          <w:color w:val="000000" w:themeColor="text1"/>
          <w:szCs w:val="28"/>
          <w14:textFill>
            <w14:solidFill>
              <w14:schemeClr w14:val="tx1"/>
            </w14:solidFill>
          </w14:textFill>
        </w:rPr>
        <w:t>.1</w:t>
      </w:r>
      <w:r>
        <w:rPr>
          <w:rFonts w:hint="eastAsia"/>
          <w:color w:val="000000" w:themeColor="text1"/>
          <w:szCs w:val="28"/>
          <w14:textFill>
            <w14:solidFill>
              <w14:schemeClr w14:val="tx1"/>
            </w14:solidFill>
          </w14:textFill>
        </w:rPr>
        <w:t>高新区应急救援领导小组</w:t>
      </w:r>
      <w:bookmarkEnd w:id="29"/>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应急救援领导小组为一级指挥，是全园区突发环境事件应对工作的领导机构，负责贯彻落实国家、省、市相关环境应急工作的方针、政策和文件要求，统一协调、指挥突发环境事件应对工作。应急指挥部总指挥由高新区管理委员会主任担任，副总指挥由高新区管委会副主任</w:t>
      </w:r>
      <w:r>
        <w:rPr>
          <w:rFonts w:hint="eastAsia" w:ascii="宋体" w:hAnsi="宋体" w:cs="宋体"/>
          <w:color w:val="000000" w:themeColor="text1"/>
          <w:kern w:val="0"/>
          <w14:textFill>
            <w14:solidFill>
              <w14:schemeClr w14:val="tx1"/>
            </w14:solidFill>
          </w14:textFill>
        </w:rPr>
        <w:t>张春民、邵景春、</w:t>
      </w:r>
      <w:r>
        <w:rPr>
          <w:rFonts w:ascii="宋体" w:hAnsi="宋体" w:cs="宋体"/>
          <w:color w:val="000000" w:themeColor="text1"/>
          <w:kern w:val="0"/>
          <w14:textFill>
            <w14:solidFill>
              <w14:schemeClr w14:val="tx1"/>
            </w14:solidFill>
          </w14:textFill>
        </w:rPr>
        <w:t>牟振有</w:t>
      </w:r>
      <w:r>
        <w:rPr>
          <w:rFonts w:hint="eastAsia" w:ascii="宋体" w:hAnsi="宋体" w:cs="宋体"/>
          <w:color w:val="000000" w:themeColor="text1"/>
          <w:kern w:val="0"/>
          <w14:textFill>
            <w14:solidFill>
              <w14:schemeClr w14:val="tx1"/>
            </w14:solidFill>
          </w14:textFill>
        </w:rPr>
        <w:t>、周新和石化消防大队教导员徐昊担任，</w:t>
      </w:r>
      <w:r>
        <w:rPr>
          <w:rFonts w:hint="eastAsia"/>
          <w:color w:val="000000" w:themeColor="text1"/>
          <w14:textFill>
            <w14:solidFill>
              <w14:schemeClr w14:val="tx1"/>
            </w14:solidFill>
          </w14:textFill>
        </w:rPr>
        <w:t>成员为应急办公室主任及各工作组的负责人。包括高新区</w:t>
      </w:r>
      <w:r>
        <w:rPr>
          <w:rFonts w:hint="eastAsia"/>
          <w:color w:val="000000" w:themeColor="text1"/>
          <w:lang w:val="en-US" w:eastAsia="zh-CN"/>
          <w14:textFill>
            <w14:solidFill>
              <w14:schemeClr w14:val="tx1"/>
            </w14:solidFill>
          </w14:textFill>
        </w:rPr>
        <w:t>综合办</w:t>
      </w:r>
      <w:r>
        <w:rPr>
          <w:rFonts w:hint="eastAsia"/>
          <w:color w:val="000000" w:themeColor="text1"/>
          <w14:textFill>
            <w14:solidFill>
              <w14:schemeClr w14:val="tx1"/>
            </w14:solidFill>
          </w14:textFill>
        </w:rPr>
        <w:t>、高新区应急管理局、高新区生态环境局、高新区建设管理局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高新区</w:t>
      </w:r>
      <w:r>
        <w:rPr>
          <w:rFonts w:hint="eastAsia"/>
          <w:color w:val="000000" w:themeColor="text1"/>
          <w:lang w:val="en-US" w:eastAsia="zh-CN"/>
          <w14:textFill>
            <w14:solidFill>
              <w14:schemeClr w14:val="tx1"/>
            </w14:solidFill>
          </w14:textFill>
        </w:rPr>
        <w:t>商务合作局、高新区经济发展局、市国土资源局高新分局、高新区科技局</w:t>
      </w:r>
      <w:r>
        <w:rPr>
          <w:rFonts w:hint="eastAsia"/>
          <w:color w:val="000000" w:themeColor="text1"/>
          <w14:textFill>
            <w14:solidFill>
              <w14:schemeClr w14:val="tx1"/>
            </w14:solidFill>
          </w14:textFill>
        </w:rPr>
        <w:t>等部门。</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（1）应急救援领导小组主要职责：</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贯彻执行国家和省有关突发环境事件应急工作的法律、法规、规章和其他有关规定</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落实省</w:t>
      </w:r>
      <w:r>
        <w:rPr>
          <w:rFonts w:hint="eastAsia" w:asciiTheme="minorEastAsia" w:hAnsiTheme="minorEastAsia" w:eastAsiaTheme="minorEastAsia"/>
          <w:color w:val="000000" w:themeColor="text1"/>
          <w14:textFill>
            <w14:solidFill>
              <w14:schemeClr w14:val="tx1"/>
            </w14:solidFill>
          </w14:textFill>
        </w:rPr>
        <w:t>、市</w:t>
      </w:r>
      <w:r>
        <w:rPr>
          <w:rFonts w:asciiTheme="minorEastAsia" w:hAnsiTheme="minorEastAsia" w:eastAsiaTheme="minorEastAsia"/>
          <w:color w:val="000000" w:themeColor="text1"/>
          <w14:textFill>
            <w14:solidFill>
              <w14:schemeClr w14:val="tx1"/>
            </w14:solidFill>
          </w14:textFill>
        </w:rPr>
        <w:t>和</w:t>
      </w:r>
      <w:r>
        <w:rPr>
          <w:rFonts w:hint="eastAsia" w:asciiTheme="minorEastAsia" w:hAnsiTheme="minorEastAsia" w:eastAsiaTheme="minorEastAsia"/>
          <w:color w:val="000000" w:themeColor="text1"/>
          <w14:textFill>
            <w14:solidFill>
              <w14:schemeClr w14:val="tx1"/>
            </w14:solidFill>
          </w14:textFill>
        </w:rPr>
        <w:t>东洲区</w:t>
      </w:r>
      <w:r>
        <w:rPr>
          <w:rFonts w:asciiTheme="minorEastAsia" w:hAnsiTheme="minorEastAsia" w:eastAsiaTheme="minorEastAsia"/>
          <w:color w:val="000000" w:themeColor="text1"/>
          <w14:textFill>
            <w14:solidFill>
              <w14:schemeClr w14:val="tx1"/>
            </w14:solidFill>
          </w14:textFill>
        </w:rPr>
        <w:t>有关环境应急工作的指示和要求</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rPr>
        <w:t>组织制定</w:t>
      </w:r>
      <w:r>
        <w:rPr>
          <w:rFonts w:hint="eastAsia" w:asciiTheme="minorEastAsia" w:hAnsiTheme="minorEastAsia" w:eastAsiaTheme="minorEastAsia"/>
        </w:rPr>
        <w:t>园区</w:t>
      </w:r>
      <w:r>
        <w:rPr>
          <w:rFonts w:asciiTheme="minorEastAsia" w:hAnsiTheme="minorEastAsia" w:eastAsiaTheme="minorEastAsia"/>
        </w:rPr>
        <w:t>突发环境事件应急预案</w:t>
      </w:r>
      <w:r>
        <w:rPr>
          <w:rFonts w:hint="eastAsia" w:asciiTheme="minorEastAsia" w:hAnsiTheme="minorEastAsia" w:eastAsiaTheme="minorEastAsia"/>
        </w:rPr>
        <w:t>。</w:t>
      </w:r>
      <w:r>
        <w:rPr>
          <w:rFonts w:asciiTheme="minorEastAsia" w:hAnsiTheme="minorEastAsia" w:eastAsiaTheme="minorEastAsia"/>
        </w:rPr>
        <w:t>负责组织预案的审批与更新</w:t>
      </w:r>
      <w:r>
        <w:rPr>
          <w:rFonts w:hint="eastAsia" w:asciiTheme="minorEastAsia" w:hAnsiTheme="minorEastAsia" w:eastAsiaTheme="minorEastAsia"/>
        </w:rPr>
        <w:t>和预案的</w:t>
      </w:r>
      <w:r>
        <w:rPr>
          <w:rFonts w:asciiTheme="minorEastAsia" w:hAnsiTheme="minorEastAsia" w:eastAsiaTheme="minorEastAsia"/>
        </w:rPr>
        <w:t>外部评审</w:t>
      </w:r>
      <w:r>
        <w:rPr>
          <w:rFonts w:hint="eastAsia" w:asciiTheme="minorEastAsia" w:hAnsiTheme="minorEastAsia" w:eastAsiaTheme="minorEastAsia"/>
        </w:rPr>
        <w:t>及备案</w:t>
      </w:r>
      <w:r>
        <w:rPr>
          <w:rFonts w:asciiTheme="minorEastAsia" w:hAnsiTheme="minorEastAsia" w:eastAsiaTheme="minorEastAsia"/>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负责</w:t>
      </w:r>
      <w:r>
        <w:rPr>
          <w:rFonts w:hint="eastAsia" w:asciiTheme="minorEastAsia" w:hAnsiTheme="minorEastAsia" w:eastAsiaTheme="minorEastAsia"/>
          <w:color w:val="000000" w:themeColor="text1"/>
          <w14:textFill>
            <w14:solidFill>
              <w14:schemeClr w14:val="tx1"/>
            </w14:solidFill>
          </w14:textFill>
        </w:rPr>
        <w:t>高新区</w:t>
      </w:r>
      <w:r>
        <w:rPr>
          <w:rFonts w:asciiTheme="minorEastAsia" w:hAnsiTheme="minorEastAsia" w:eastAsiaTheme="minorEastAsia"/>
          <w:color w:val="000000" w:themeColor="text1"/>
          <w14:textFill>
            <w14:solidFill>
              <w14:schemeClr w14:val="tx1"/>
            </w14:solidFill>
          </w14:textFill>
        </w:rPr>
        <w:t>突发环境事件应急工作的组织、协调、指挥和调度；发布环境应急预警，并启动环境应急响应；协调各新闻媒体及宣传部门发布权威性环境应急信息。</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rPr>
        <w:t>组建突发环境事件应急救援队伍；</w:t>
      </w:r>
      <w:r>
        <w:rPr>
          <w:rFonts w:asciiTheme="minorEastAsia" w:hAnsiTheme="minorEastAsia" w:eastAsiaTheme="minorEastAsia"/>
          <w:color w:val="000000" w:themeColor="text1"/>
          <w14:textFill>
            <w14:solidFill>
              <w14:schemeClr w14:val="tx1"/>
            </w14:solidFill>
          </w14:textFill>
        </w:rPr>
        <w:t>明确突发事件状态下，各级人员的职责；</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掌握有关突发环境事件应急情报信息和事态变化情况；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6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⑥</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组织应急处理专业队伍，并组织实施和演练。</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（2）总</w:t>
      </w:r>
      <w:r>
        <w:rPr>
          <w:rFonts w:asciiTheme="minorEastAsia" w:hAnsiTheme="minorEastAsia" w:eastAsiaTheme="minorEastAsia"/>
        </w:rPr>
        <w:t>指挥职责</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负责指挥、组织协调</w:t>
      </w:r>
      <w:r>
        <w:rPr>
          <w:rFonts w:hint="eastAsia" w:asciiTheme="minorEastAsia" w:hAnsiTheme="minorEastAsia" w:eastAsiaTheme="minorEastAsia"/>
          <w:color w:val="000000" w:themeColor="text1"/>
          <w14:textFill>
            <w14:solidFill>
              <w14:schemeClr w14:val="tx1"/>
            </w14:solidFill>
          </w14:textFill>
        </w:rPr>
        <w:t>高新区</w:t>
      </w:r>
      <w:r>
        <w:rPr>
          <w:rFonts w:asciiTheme="minorEastAsia" w:hAnsiTheme="minorEastAsia" w:eastAsiaTheme="minorEastAsia"/>
          <w:color w:val="000000" w:themeColor="text1"/>
          <w14:textFill>
            <w14:solidFill>
              <w14:schemeClr w14:val="tx1"/>
            </w14:solidFill>
          </w14:textFill>
        </w:rPr>
        <w:t>突发环境事故应急救援工作，对重大问题作出决策；</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批准本预案的启动与终止；</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负责发布和解除事故应急救援抢险命令；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负责人员、资源配置、应急队伍的调动；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负责</w:t>
      </w:r>
      <w:r>
        <w:rPr>
          <w:rFonts w:hint="eastAsia" w:asciiTheme="minorEastAsia" w:hAnsiTheme="minorEastAsia" w:eastAsiaTheme="minorEastAsia"/>
          <w:color w:val="000000" w:themeColor="text1"/>
          <w14:textFill>
            <w14:solidFill>
              <w14:schemeClr w14:val="tx1"/>
            </w14:solidFill>
          </w14:textFill>
        </w:rPr>
        <w:t>高新区</w:t>
      </w:r>
      <w:r>
        <w:rPr>
          <w:rFonts w:asciiTheme="minorEastAsia" w:hAnsiTheme="minorEastAsia" w:eastAsiaTheme="minorEastAsia"/>
          <w:color w:val="000000" w:themeColor="text1"/>
          <w14:textFill>
            <w14:solidFill>
              <w14:schemeClr w14:val="tx1"/>
            </w14:solidFill>
          </w14:textFill>
        </w:rPr>
        <w:t>突发环境事件应急</w:t>
      </w:r>
      <w:r>
        <w:rPr>
          <w:rFonts w:hint="eastAsia" w:asciiTheme="minorEastAsia" w:hAnsiTheme="minorEastAsia" w:eastAsiaTheme="minorEastAsia"/>
          <w:color w:val="000000" w:themeColor="text1"/>
          <w14:textFill>
            <w14:solidFill>
              <w14:schemeClr w14:val="tx1"/>
            </w14:solidFill>
          </w14:textFill>
        </w:rPr>
        <w:t>救援</w:t>
      </w:r>
      <w:r>
        <w:rPr>
          <w:rFonts w:asciiTheme="minorEastAsia" w:hAnsiTheme="minorEastAsia" w:eastAsiaTheme="minorEastAsia"/>
          <w:color w:val="000000" w:themeColor="text1"/>
          <w14:textFill>
            <w14:solidFill>
              <w14:schemeClr w14:val="tx1"/>
            </w14:solidFill>
          </w14:textFill>
        </w:rPr>
        <w:t>协调工作；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6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⑥</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通报外部机构，决定</w:t>
      </w:r>
      <w:r>
        <w:rPr>
          <w:rFonts w:hint="eastAsia" w:asciiTheme="minorEastAsia" w:hAnsiTheme="minorEastAsia" w:eastAsiaTheme="minorEastAsia"/>
          <w:color w:val="000000" w:themeColor="text1"/>
          <w14:textFill>
            <w14:solidFill>
              <w14:schemeClr w14:val="tx1"/>
            </w14:solidFill>
          </w14:textFill>
        </w:rPr>
        <w:t>是否</w:t>
      </w:r>
      <w:r>
        <w:rPr>
          <w:rFonts w:asciiTheme="minorEastAsia" w:hAnsiTheme="minorEastAsia" w:eastAsiaTheme="minorEastAsia"/>
          <w:color w:val="000000" w:themeColor="text1"/>
          <w14:textFill>
            <w14:solidFill>
              <w14:schemeClr w14:val="tx1"/>
            </w14:solidFill>
          </w14:textFill>
        </w:rPr>
        <w:t>请求外部援助</w:t>
      </w:r>
      <w:r>
        <w:rPr>
          <w:rFonts w:hint="eastAsia" w:asciiTheme="minorEastAsia" w:hAnsiTheme="minorEastAsia" w:eastAsiaTheme="minorEastAsia"/>
          <w:color w:val="000000" w:themeColor="text1"/>
          <w14:textFill>
            <w14:solidFill>
              <w14:schemeClr w14:val="tx1"/>
            </w14:solidFill>
          </w14:textFill>
        </w:rPr>
        <w:t>。</w:t>
      </w:r>
    </w:p>
    <w:p>
      <w:pPr>
        <w:pStyle w:val="2"/>
        <w:spacing w:before="0" w:beforeLines="0" w:after="0"/>
        <w:ind w:firstLine="480"/>
        <w:rPr>
          <w:rFonts w:asciiTheme="minorEastAsia" w:hAnsiTheme="minorEastAsia" w:eastAsiaTheme="minorEastAsia"/>
        </w:rPr>
      </w:pPr>
      <w:r>
        <w:rPr>
          <w:rFonts w:hint="eastAsia" w:asciiTheme="minorEastAsia" w:hAnsiTheme="minorEastAsia" w:eastAsiaTheme="minorEastAsia"/>
        </w:rPr>
        <w:t>（3）</w:t>
      </w:r>
      <w:bookmarkStart w:id="30" w:name="_Toc522571664"/>
      <w:r>
        <w:rPr>
          <w:rFonts w:hint="eastAsia" w:asciiTheme="minorEastAsia" w:hAnsiTheme="minorEastAsia" w:eastAsiaTheme="minorEastAsia"/>
        </w:rPr>
        <w:t>副总指挥职责</w:t>
      </w:r>
    </w:p>
    <w:p>
      <w:pPr>
        <w:pStyle w:val="2"/>
        <w:spacing w:before="0" w:beforeLines="0" w:after="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协助总指挥进行紧急状态处置，组织各专业应急小组开展应急救援工作；</w:t>
      </w:r>
    </w:p>
    <w:p>
      <w:pPr>
        <w:pStyle w:val="2"/>
        <w:spacing w:before="0" w:beforeLines="0" w:after="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按照分管业务，及时协调监督本专业应急小组开展救援工作；</w:t>
      </w:r>
    </w:p>
    <w:p>
      <w:pPr>
        <w:pStyle w:val="2"/>
        <w:spacing w:before="0" w:beforeLines="0" w:after="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执行指挥部各项应急决议，完成总指挥安排应急状态下的各项工作；</w:t>
      </w:r>
    </w:p>
    <w:p>
      <w:pPr>
        <w:pStyle w:val="2"/>
        <w:spacing w:before="0" w:beforeLines="0" w:after="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在紧急状态结束后，参加事件的分析和处理；</w:t>
      </w:r>
    </w:p>
    <w:p>
      <w:pPr>
        <w:pStyle w:val="2"/>
        <w:spacing w:before="0" w:beforeLines="0" w:after="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总指挥不在现场时，由各副总指挥到达现场后依据以下排序履行总指挥的职责。</w:t>
      </w:r>
      <w:bookmarkEnd w:id="30"/>
    </w:p>
    <w:p>
      <w:pPr>
        <w:pStyle w:val="5"/>
        <w:spacing w:before="163"/>
        <w:ind w:left="281" w:hanging="281"/>
      </w:pPr>
      <w:bookmarkStart w:id="31" w:name="_Toc116110887"/>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1</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2高新区应急现场指挥部</w:t>
      </w:r>
      <w:bookmarkEnd w:id="3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应急现场</w:t>
      </w:r>
      <w:bookmarkStart w:id="32" w:name="_Toc522571665"/>
      <w:r>
        <w:rPr>
          <w:rFonts w:hint="eastAsia"/>
          <w:color w:val="000000" w:themeColor="text1"/>
          <w14:textFill>
            <w14:solidFill>
              <w14:schemeClr w14:val="tx1"/>
            </w14:solidFill>
          </w14:textFill>
        </w:rPr>
        <w:t>指挥部是事故现场临时成立的领导组织机构。当发生</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ROMAN</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2 \* ROMAN</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II</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级事件时，现场应按照现场处置方案成立现场应急救援指挥部。当启动企业级应急预案后，现场应急救援指挥部总指挥指挥权交予先期到达现场的救援组组长，当总指挥到现场后移交给总指挥。当发生</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ROMAN</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 xml:space="preserve">事件，上级应急救援机构到达现场后，现场指挥权交由上级应急救援机构负责，实现现场应急救援指挥部总指挥指挥权的无缝交接。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主要职责：负责组织制定现场抢险救援方案并组织实施；密切掌握现场动态，及时收集事故信息；及时对救援行动下达指令，并根据实际救援情况进行方案调整。</w:t>
      </w:r>
      <w:bookmarkEnd w:id="32"/>
    </w:p>
    <w:p>
      <w:pPr>
        <w:pStyle w:val="4"/>
        <w:spacing w:before="0"/>
        <w:ind w:left="301" w:hanging="301"/>
        <w:rPr>
          <w:color w:val="000000" w:themeColor="text1"/>
          <w:szCs w:val="30"/>
          <w14:textFill>
            <w14:solidFill>
              <w14:schemeClr w14:val="tx1"/>
            </w14:solidFill>
          </w14:textFill>
        </w:rPr>
      </w:pPr>
      <w:bookmarkStart w:id="33" w:name="_Toc116110888"/>
      <w:r>
        <w:rPr>
          <w:rFonts w:hint="eastAsia"/>
          <w:color w:val="000000" w:themeColor="text1"/>
          <w:szCs w:val="30"/>
          <w14:textFill>
            <w14:solidFill>
              <w14:schemeClr w14:val="tx1"/>
            </w14:solidFill>
          </w14:textFill>
        </w:rPr>
        <w:t>2.2应急救援工作机构</w:t>
      </w:r>
      <w:bookmarkEnd w:id="33"/>
    </w:p>
    <w:p>
      <w:pPr>
        <w:pStyle w:val="5"/>
        <w:spacing w:before="0" w:beforeLines="0"/>
        <w:ind w:left="281" w:hanging="281"/>
        <w:rPr>
          <w:color w:val="000000" w:themeColor="text1"/>
          <w:szCs w:val="28"/>
          <w14:textFill>
            <w14:solidFill>
              <w14:schemeClr w14:val="tx1"/>
            </w14:solidFill>
          </w14:textFill>
        </w:rPr>
      </w:pPr>
      <w:bookmarkStart w:id="34" w:name="_Toc116110889"/>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.1</w:t>
      </w:r>
      <w:r>
        <w:rPr>
          <w:rFonts w:hint="eastAsia"/>
          <w:color w:val="000000" w:themeColor="text1"/>
          <w14:textFill>
            <w14:solidFill>
              <w14:schemeClr w14:val="tx1"/>
            </w14:solidFill>
          </w14:textFill>
        </w:rPr>
        <w:t>应急救援指挥部办公室</w:t>
      </w:r>
      <w:bookmarkEnd w:id="3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应急指挥</w:t>
      </w:r>
      <w:r>
        <w:rPr>
          <w:color w:val="000000" w:themeColor="text1"/>
          <w14:textFill>
            <w14:solidFill>
              <w14:schemeClr w14:val="tx1"/>
            </w14:solidFill>
          </w14:textFill>
        </w:rPr>
        <w:t>办公室设在</w:t>
      </w:r>
      <w:r>
        <w:rPr>
          <w:rFonts w:hint="eastAsia"/>
          <w:color w:val="000000" w:themeColor="text1"/>
          <w14:textFill>
            <w14:solidFill>
              <w14:schemeClr w14:val="tx1"/>
            </w14:solidFill>
          </w14:textFill>
        </w:rPr>
        <w:t>高新区管委会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办公室主任由高新区</w:t>
      </w:r>
      <w:r>
        <w:rPr>
          <w:rFonts w:hint="eastAsia"/>
          <w:color w:val="000000" w:themeColor="text1"/>
          <w:lang w:val="en-US" w:eastAsia="zh-CN"/>
          <w14:textFill>
            <w14:solidFill>
              <w14:schemeClr w14:val="tx1"/>
            </w14:solidFill>
          </w14:textFill>
        </w:rPr>
        <w:t>综合办主任梁霞</w:t>
      </w:r>
      <w:r>
        <w:rPr>
          <w:rFonts w:hint="eastAsia"/>
          <w:color w:val="000000" w:themeColor="text1"/>
          <w14:textFill>
            <w14:solidFill>
              <w14:schemeClr w14:val="tx1"/>
            </w14:solidFill>
          </w14:textFill>
        </w:rPr>
        <w:t>担任。</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职责：具体负责编制和修订园区环境应急预案；当发生突发事故时，按领导机构要求组织和调度应急救援力量；接到报警后，根据实际情况和灾害事故严重程度，及时通知相关各部门；依事故发生的地点、性质等情况，做好生产、物料的组织安排和调度，传达事故现场联系的通讯网络和手段；负责对事故现场进行事故调查、取证工作，分析事故原因，明确事故责任者，统计事故经济损失，提出事故处理意见和防范措施的建议，编写事故报告；组织应急响应结束后的评估、恢复、重建和总结改进工作，负责事故后组织恢复生产；按指挥部的授权，安排宣传报道和事故信息对外的发布，按要求向上级主管部门汇报；应急办公室负责日常应急管理工作，组织应急预案的培训、演练。</w:t>
      </w:r>
    </w:p>
    <w:p>
      <w:pPr>
        <w:pStyle w:val="5"/>
        <w:spacing w:before="163"/>
        <w:ind w:left="281" w:hanging="281"/>
        <w:rPr>
          <w:color w:val="000000" w:themeColor="text1"/>
          <w:szCs w:val="28"/>
          <w14:textFill>
            <w14:solidFill>
              <w14:schemeClr w14:val="tx1"/>
            </w14:solidFill>
          </w14:textFill>
        </w:rPr>
      </w:pPr>
      <w:bookmarkStart w:id="35" w:name="_Toc116110890"/>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2紧急救援组</w:t>
      </w:r>
      <w:bookmarkEnd w:id="35"/>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紧急救援组组长为高新区应急管理局局长鲁洪波。成员包括园区企业主要负责人和和应急救援协助单位抚顺银隆建筑有限公司经理刘志忠、辽宁中光城建有限公司经理侯彦志。</w:t>
      </w:r>
    </w:p>
    <w:p>
      <w:pPr>
        <w:spacing w:before="0" w:beforeLines="0"/>
        <w:ind w:firstLine="480"/>
        <w:rPr>
          <w:szCs w:val="21"/>
        </w:rPr>
      </w:pPr>
      <w:r>
        <w:rPr>
          <w:rFonts w:hint="eastAsia"/>
          <w:color w:val="000000" w:themeColor="text1"/>
          <w14:textFill>
            <w14:solidFill>
              <w14:schemeClr w14:val="tx1"/>
            </w14:solidFill>
          </w14:textFill>
        </w:rPr>
        <w:t>主要职责：负责突发环境事件应急处置与救援工作。一旦发生突发环境事件，由组长第一时间联系高新区消防部门的应急救援队伍和有关部门、企业等组成专业应急救援队伍开展救援行动，必要时请武警部队参加；组织专业救援队伍利用园区风险防控设施对泄漏的环境风险物质进行收集、处置，尽可能地减轻对环境的影响；</w:t>
      </w:r>
      <w:r>
        <w:rPr>
          <w:rFonts w:hint="eastAsia"/>
          <w:szCs w:val="21"/>
        </w:rPr>
        <w:t>参与事故调查。</w:t>
      </w:r>
    </w:p>
    <w:p>
      <w:pPr>
        <w:pStyle w:val="2"/>
        <w:spacing w:before="0" w:beforeLines="0" w:after="0"/>
        <w:ind w:firstLine="480"/>
        <w:rPr>
          <w:rFonts w:ascii="宋体" w:hAnsi="宋体" w:cs="宋体"/>
          <w:kern w:val="0"/>
          <w:lang w:bidi="ar"/>
        </w:rPr>
      </w:pPr>
      <w:r>
        <w:rPr>
          <w:rFonts w:hint="eastAsia"/>
        </w:rPr>
        <w:t>石化消防支队位于核心区，园区发生突发环境事件，石化消防支队在接警5分内能够</w:t>
      </w:r>
      <w:r>
        <w:rPr>
          <w:rFonts w:hint="eastAsia" w:ascii="宋体" w:hAnsi="宋体" w:cs="宋体"/>
          <w:kern w:val="0"/>
          <w:lang w:bidi="ar"/>
        </w:rPr>
        <w:t>赶到突发事件现场，按照现场处理预案展开扑救工作；按照指挥部的要求，负责消防队伍的调度，做好应急救援的配合工作；参与火灾爆炸事故的调查工作。石化消防支队是园区紧急救援组做要组成部分。</w:t>
      </w:r>
    </w:p>
    <w:p>
      <w:pPr>
        <w:spacing w:before="0" w:beforeLines="0"/>
        <w:ind w:firstLine="480"/>
        <w:rPr>
          <w:rFonts w:ascii="宋体" w:hAnsi="宋体" w:cs="宋体"/>
        </w:rPr>
      </w:pPr>
      <w:r>
        <w:rPr>
          <w:rFonts w:hint="eastAsia"/>
        </w:rPr>
        <w:t>抚顺银隆建筑有限公司、辽宁中光城建有限公司、</w:t>
      </w:r>
      <w:r>
        <w:rPr>
          <w:rFonts w:hint="eastAsia" w:ascii="宋体" w:hAnsi="宋体" w:cs="宋体"/>
          <w:kern w:val="0"/>
          <w:lang w:bidi="ar"/>
        </w:rPr>
        <w:t>抚顺石化工二建公司、北天集团建安公司是园区内大型建筑企业，保有</w:t>
      </w:r>
      <w:r>
        <w:rPr>
          <w:rFonts w:hint="eastAsia" w:ascii="宋体" w:hAnsi="宋体" w:cs="宋体"/>
          <w:kern w:val="0"/>
          <w:lang w:val="en-US" w:eastAsia="zh-CN" w:bidi="ar"/>
        </w:rPr>
        <w:t>各</w:t>
      </w:r>
      <w:r>
        <w:rPr>
          <w:rFonts w:hint="eastAsia" w:ascii="宋体" w:hAnsi="宋体" w:cs="宋体"/>
          <w:kern w:val="0"/>
          <w:lang w:bidi="ar"/>
        </w:rPr>
        <w:t>种工程机械</w:t>
      </w:r>
      <w:r>
        <w:rPr>
          <w:rFonts w:hint="eastAsia" w:ascii="宋体" w:hAnsi="宋体" w:cs="宋体"/>
          <w:kern w:val="0"/>
          <w:lang w:val="en-US" w:eastAsia="zh-CN" w:bidi="ar"/>
        </w:rPr>
        <w:t>和</w:t>
      </w:r>
      <w:r>
        <w:rPr>
          <w:rFonts w:hint="eastAsia" w:ascii="宋体" w:hAnsi="宋体" w:cs="宋体"/>
          <w:kern w:val="0"/>
          <w:lang w:bidi="ar"/>
        </w:rPr>
        <w:t>设备。接到应急救援信息后可在20分钟内到达事故现场</w:t>
      </w:r>
      <w:r>
        <w:rPr>
          <w:rFonts w:hint="eastAsia" w:ascii="宋体" w:hAnsi="宋体" w:cs="宋体"/>
          <w:kern w:val="0"/>
          <w:lang w:eastAsia="zh-CN" w:bidi="ar"/>
        </w:rPr>
        <w:t>。</w:t>
      </w:r>
      <w:r>
        <w:rPr>
          <w:rFonts w:hint="eastAsia" w:ascii="宋体" w:hAnsi="宋体" w:cs="宋体"/>
        </w:rPr>
        <w:t>按照抢修方案对压力容器、压力管道、机泵、电器等设备、设施实施处置；提供应急救援的施工力量和材料机具等，完成现场事故废水截流、导流、收集及环境风险物质泄露等抢险工作；参加拆除、恢复过程的施工。</w:t>
      </w:r>
    </w:p>
    <w:p>
      <w:pPr>
        <w:spacing w:before="0" w:beforeLines="0"/>
        <w:ind w:firstLine="480"/>
        <w:rPr>
          <w:rFonts w:ascii="宋体" w:hAnsi="宋体" w:cs="宋体"/>
          <w:kern w:val="0"/>
        </w:rPr>
      </w:pPr>
      <w:r>
        <w:rPr>
          <w:rFonts w:hint="eastAsia" w:ascii="宋体" w:hAnsi="宋体" w:cs="宋体"/>
          <w:kern w:val="0"/>
        </w:rPr>
        <w:t>高新区入驻企业内部配备相应的应急救援队伍，园区发生事故后</w:t>
      </w:r>
      <w:r>
        <w:rPr>
          <w:rFonts w:hint="eastAsia"/>
          <w:color w:val="000000" w:themeColor="text1"/>
          <w14:textFill>
            <w14:solidFill>
              <w14:schemeClr w14:val="tx1"/>
            </w14:solidFill>
          </w14:textFill>
        </w:rPr>
        <w:t>紧急救援组</w:t>
      </w:r>
      <w:r>
        <w:rPr>
          <w:rFonts w:hint="eastAsia" w:ascii="宋体" w:hAnsi="宋体" w:cs="宋体"/>
          <w:kern w:val="0"/>
        </w:rPr>
        <w:t>根据实际事件发展，可调度园区企业的应急救援队伍，开展园区应急救援。</w:t>
      </w:r>
    </w:p>
    <w:p>
      <w:pPr>
        <w:pStyle w:val="5"/>
        <w:spacing w:before="163"/>
        <w:ind w:left="281" w:hanging="281"/>
        <w:rPr>
          <w:color w:val="000000" w:themeColor="text1"/>
          <w:szCs w:val="28"/>
          <w14:textFill>
            <w14:solidFill>
              <w14:schemeClr w14:val="tx1"/>
            </w14:solidFill>
          </w14:textFill>
        </w:rPr>
      </w:pPr>
      <w:bookmarkStart w:id="36" w:name="_Toc116110891"/>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3物资保障组</w:t>
      </w:r>
      <w:bookmarkEnd w:id="3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高新区物资保障组由高新区建设管理局局长佟云飞担任组长。</w:t>
      </w:r>
    </w:p>
    <w:p>
      <w:pPr>
        <w:spacing w:before="0" w:beforeLines="0"/>
        <w:ind w:firstLine="480"/>
        <w:rPr>
          <w:rFonts w:ascii="宋体" w:hAnsi="宋体" w:cs="宋体"/>
          <w:kern w:val="0"/>
        </w:rPr>
      </w:pPr>
      <w:r>
        <w:rPr>
          <w:rFonts w:hint="eastAsia" w:ascii="宋体" w:hAnsi="宋体" w:cs="宋体"/>
          <w:color w:val="000000" w:themeColor="text1"/>
          <w:kern w:val="0"/>
          <w14:textFill>
            <w14:solidFill>
              <w14:schemeClr w14:val="tx1"/>
            </w14:solidFill>
          </w14:textFill>
        </w:rPr>
        <w:t>主要职责：</w:t>
      </w:r>
      <w:r>
        <w:rPr>
          <w:rFonts w:hint="eastAsia"/>
          <w:color w:val="000000" w:themeColor="text1"/>
          <w14:textFill>
            <w14:solidFill>
              <w14:schemeClr w14:val="tx1"/>
            </w14:solidFill>
          </w14:textFill>
        </w:rPr>
        <w:t>负责各种应急物资的</w:t>
      </w:r>
      <w:r>
        <w:rPr>
          <w:rFonts w:hint="eastAsia"/>
          <w:szCs w:val="21"/>
        </w:rPr>
        <w:t>组织和供应，诸如事故现场抢救物资、洗消用水等；</w:t>
      </w:r>
      <w:r>
        <w:rPr>
          <w:rFonts w:hint="eastAsia" w:ascii="宋体" w:hAnsi="宋体" w:cs="宋体"/>
          <w:color w:val="000000" w:themeColor="text1"/>
          <w:kern w:val="0"/>
          <w14:textFill>
            <w14:solidFill>
              <w14:schemeClr w14:val="tx1"/>
            </w14:solidFill>
          </w14:textFill>
        </w:rPr>
        <w:t>及</w:t>
      </w:r>
      <w:r>
        <w:rPr>
          <w:rFonts w:hint="eastAsia"/>
          <w:szCs w:val="21"/>
        </w:rPr>
        <w:t>时运送各种抢险救灾物资、设备到达现场；负责有关车辆的安排，提供运输保障；负责受伤、中毒人员的生活必需品的供应，准备好安置地点；负责现场施救人员生活后勤保障；负责外来领导、专家、媒体等人员的接待；负责稳定员工和周边居民的情绪，做好伤亡人员的善后处理，协助环境污染理赔工作。</w:t>
      </w:r>
    </w:p>
    <w:p>
      <w:pPr>
        <w:spacing w:before="0" w:beforeLines="0"/>
        <w:ind w:firstLine="480"/>
        <w:rPr>
          <w:rFonts w:hAnsi="宋体"/>
        </w:rPr>
      </w:pPr>
      <w:r>
        <w:rPr>
          <w:rFonts w:hint="eastAsia" w:ascii="宋体" w:hAnsi="宋体" w:cs="宋体"/>
          <w:kern w:val="0"/>
        </w:rPr>
        <w:t>高新区管委会设置专门的应急物质库，位于东泽污水处理厂厂区内。同时高新区管委会与抚顺石化消防支队、石油二厂、烯烃厂达成了协议，一旦发生突发环境事件，上述单位可以提供</w:t>
      </w:r>
      <w:r>
        <w:rPr>
          <w:rFonts w:hAnsi="宋体"/>
        </w:rPr>
        <w:t>抢险救援所需各类设备、设施</w:t>
      </w:r>
      <w:r>
        <w:rPr>
          <w:rFonts w:hint="eastAsia" w:hAnsi="宋体"/>
        </w:rPr>
        <w:t>等。</w:t>
      </w:r>
    </w:p>
    <w:p>
      <w:pPr>
        <w:spacing w:before="0" w:beforeLines="0"/>
        <w:ind w:firstLine="480"/>
        <w:rPr>
          <w:rFonts w:ascii="宋体" w:hAnsi="宋体" w:cs="宋体"/>
          <w:kern w:val="0"/>
        </w:rPr>
      </w:pPr>
      <w:r>
        <w:rPr>
          <w:rFonts w:hint="eastAsia" w:ascii="宋体" w:hAnsi="宋体" w:cs="宋体"/>
          <w:kern w:val="0"/>
        </w:rPr>
        <w:t>高新区入驻企业均编制突发环境事件应急预案并进行了备案，企业内部配备相应的应急物资，园区发生事故后物资保障组根据实际事件发展，可调度园区企业的应急物质，开展园区应急救援。</w:t>
      </w:r>
    </w:p>
    <w:p>
      <w:pPr>
        <w:pStyle w:val="5"/>
        <w:spacing w:before="163"/>
        <w:ind w:left="281" w:hanging="281"/>
        <w:rPr>
          <w:color w:val="000000" w:themeColor="text1"/>
          <w:szCs w:val="28"/>
          <w14:textFill>
            <w14:solidFill>
              <w14:schemeClr w14:val="tx1"/>
            </w14:solidFill>
          </w14:textFill>
        </w:rPr>
      </w:pPr>
      <w:bookmarkStart w:id="37" w:name="_Toc116110892"/>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4</w:t>
      </w:r>
      <w:r>
        <w:rPr>
          <w:color w:val="000000" w:themeColor="text1"/>
          <w:szCs w:val="28"/>
          <w14:textFill>
            <w14:solidFill>
              <w14:schemeClr w14:val="tx1"/>
            </w14:solidFill>
          </w14:textFill>
        </w:rPr>
        <w:t>通讯联络组</w:t>
      </w:r>
      <w:bookmarkEnd w:id="37"/>
    </w:p>
    <w:p>
      <w:pPr>
        <w:spacing w:before="0" w:beforeLines="0"/>
        <w:ind w:firstLine="480"/>
        <w:rPr>
          <w:rFonts w:hint="eastAsia" w:ascii="宋体" w:hAnsi="宋体" w:cs="宋体"/>
          <w:color w:val="000000" w:themeColor="text1"/>
          <w:kern w:val="0"/>
          <w14:textFill>
            <w14:solidFill>
              <w14:schemeClr w14:val="tx1"/>
            </w14:solidFill>
          </w14:textFill>
        </w:rPr>
      </w:pPr>
      <w:r>
        <w:rPr>
          <w:rFonts w:hint="eastAsia" w:ascii="宋体" w:hAnsi="宋体" w:cs="宋体"/>
          <w:color w:val="000000" w:themeColor="text1"/>
          <w:kern w:val="0"/>
          <w14:textFill>
            <w14:solidFill>
              <w14:schemeClr w14:val="tx1"/>
            </w14:solidFill>
          </w14:textFill>
        </w:rPr>
        <w:t>通讯联络组组长由高新区</w:t>
      </w:r>
      <w:r>
        <w:rPr>
          <w:rFonts w:hint="eastAsia" w:ascii="宋体" w:hAnsi="宋体" w:cs="宋体"/>
          <w:color w:val="000000" w:themeColor="text1"/>
          <w:kern w:val="0"/>
          <w:lang w:val="en-US" w:eastAsia="zh-CN"/>
          <w14:textFill>
            <w14:solidFill>
              <w14:schemeClr w14:val="tx1"/>
            </w14:solidFill>
          </w14:textFill>
        </w:rPr>
        <w:t>商务合作局局长高巍</w:t>
      </w:r>
      <w:r>
        <w:rPr>
          <w:rFonts w:hint="eastAsia" w:ascii="宋体" w:hAnsi="宋体" w:cs="宋体"/>
          <w:color w:val="000000" w:themeColor="text1"/>
          <w:kern w:val="0"/>
          <w14:textFill>
            <w14:solidFill>
              <w14:schemeClr w14:val="tx1"/>
            </w14:solidFill>
          </w14:textFill>
        </w:rPr>
        <w:t>担任。</w:t>
      </w:r>
    </w:p>
    <w:p>
      <w:pPr>
        <w:spacing w:before="0" w:beforeLines="0"/>
        <w:ind w:firstLine="480"/>
        <w:rPr>
          <w:rFonts w:hAnsi="宋体"/>
        </w:rPr>
      </w:pPr>
      <w:r>
        <w:rPr>
          <w:rFonts w:hint="eastAsia" w:hAnsi="宋体"/>
        </w:rPr>
        <w:t>主要职责：</w:t>
      </w:r>
      <w:r>
        <w:rPr>
          <w:rFonts w:hAnsi="宋体"/>
        </w:rPr>
        <w:t>负责现场用电和通讯联络正常运行，保障与</w:t>
      </w:r>
      <w:r>
        <w:rPr>
          <w:rFonts w:hint="eastAsia" w:hAnsi="宋体"/>
        </w:rPr>
        <w:t>园区各企业</w:t>
      </w:r>
      <w:r>
        <w:rPr>
          <w:rFonts w:hAnsi="宋体"/>
        </w:rPr>
        <w:t>、地方政府</w:t>
      </w:r>
      <w:r>
        <w:rPr>
          <w:rFonts w:hint="eastAsia" w:hAnsi="宋体"/>
        </w:rPr>
        <w:t>、安全生产管理部门、消防队及</w:t>
      </w:r>
      <w:r>
        <w:rPr>
          <w:rFonts w:hAnsi="宋体"/>
        </w:rPr>
        <w:t>相关医院的沟通联络</w:t>
      </w:r>
      <w:r>
        <w:rPr>
          <w:rFonts w:hint="eastAsia" w:hAnsi="宋体"/>
        </w:rPr>
        <w:t>。</w:t>
      </w:r>
      <w:r>
        <w:rPr>
          <w:rFonts w:hint="eastAsia"/>
        </w:rPr>
        <w:t>根据突发环境事件实际情况，第一时间联系</w:t>
      </w:r>
      <w:r>
        <w:rPr>
          <w:rFonts w:hint="eastAsia" w:hAnsi="宋体"/>
        </w:rPr>
        <w:t>抚顺石化医院乙烯化工厂急救站、</w:t>
      </w:r>
      <w:r>
        <w:rPr>
          <w:rFonts w:hint="eastAsia"/>
        </w:rPr>
        <w:t>第三人民医院、市中心医院及抚顺矿务局总医院等医院进行医疗救治</w:t>
      </w:r>
      <w:r>
        <w:rPr>
          <w:rFonts w:hAnsi="宋体"/>
        </w:rPr>
        <w:t>。</w:t>
      </w:r>
    </w:p>
    <w:p>
      <w:pPr>
        <w:widowControl/>
        <w:spacing w:before="0" w:beforeLines="0"/>
        <w:ind w:firstLine="480"/>
        <w:rPr>
          <w:rFonts w:ascii="宋体" w:hAnsi="宋体" w:cs="宋体"/>
          <w:kern w:val="0"/>
          <w:lang w:bidi="ar"/>
        </w:rPr>
      </w:pPr>
      <w:r>
        <w:rPr>
          <w:rFonts w:hint="eastAsia" w:hAnsi="宋体"/>
        </w:rPr>
        <w:t>园区内的抚顺石化医院乙烯化工厂急救站储备了应急所需的药品和</w:t>
      </w:r>
      <w:r>
        <w:rPr>
          <w:rFonts w:hint="eastAsia" w:ascii="宋体" w:hAnsi="宋体" w:cs="宋体"/>
          <w:kern w:val="0"/>
          <w:lang w:bidi="ar"/>
        </w:rPr>
        <w:t>医疗器械；可先期指导紧急情况下人员的自救与互救，指导人员进行个人防护；负责受伤人员的现场急救等。</w:t>
      </w:r>
    </w:p>
    <w:p>
      <w:pPr>
        <w:pStyle w:val="5"/>
        <w:spacing w:before="163"/>
        <w:ind w:left="281" w:hanging="281"/>
        <w:rPr>
          <w:color w:val="000000" w:themeColor="text1"/>
          <w:szCs w:val="28"/>
          <w14:textFill>
            <w14:solidFill>
              <w14:schemeClr w14:val="tx1"/>
            </w14:solidFill>
          </w14:textFill>
        </w:rPr>
      </w:pPr>
      <w:bookmarkStart w:id="38" w:name="_Toc116110893"/>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5环境监测组</w:t>
      </w:r>
      <w:bookmarkEnd w:id="38"/>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环境监测组组长为高新区生态环境局负责人生锐。</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主要职责：负责事故发生后的环境监测计划的实施，负责组织实施大气、地表水、地下水、土壤等环境监测工作；</w:t>
      </w:r>
      <w:r>
        <w:rPr>
          <w:rFonts w:hAnsi="宋体"/>
          <w:color w:val="000000" w:themeColor="text1"/>
          <w:kern w:val="0"/>
          <w14:textFill>
            <w14:solidFill>
              <w14:schemeClr w14:val="tx1"/>
            </w14:solidFill>
          </w14:textFill>
        </w:rPr>
        <w:t>负责协助</w:t>
      </w:r>
      <w:r>
        <w:rPr>
          <w:rFonts w:hint="eastAsia" w:hAnsi="宋体"/>
          <w:color w:val="000000" w:themeColor="text1"/>
          <w:kern w:val="0"/>
          <w14:textFill>
            <w14:solidFill>
              <w14:schemeClr w14:val="tx1"/>
            </w14:solidFill>
          </w14:textFill>
        </w:rPr>
        <w:t>协议单位及</w:t>
      </w:r>
      <w:r>
        <w:rPr>
          <w:rFonts w:hAnsi="宋体"/>
          <w:color w:val="000000" w:themeColor="text1"/>
          <w:kern w:val="0"/>
          <w14:textFill>
            <w14:solidFill>
              <w14:schemeClr w14:val="tx1"/>
            </w14:solidFill>
          </w14:textFill>
        </w:rPr>
        <w:t>地方环境监测机构进</w:t>
      </w:r>
      <w:r>
        <w:rPr>
          <w:color w:val="000000" w:themeColor="text1"/>
          <w14:textFill>
            <w14:solidFill>
              <w14:schemeClr w14:val="tx1"/>
            </w14:solidFill>
          </w14:textFill>
        </w:rPr>
        <w:t>行应急监测工作。</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园区应急监测协议单位为辽宁万世环境检测有限公司、抚顺市绿谷源环境检测有限公司具备应急监测能力。辽宁省抚顺生态环境监测中心可为园区应急监测提供应急支援。</w:t>
      </w:r>
    </w:p>
    <w:p>
      <w:pPr>
        <w:pStyle w:val="5"/>
        <w:spacing w:before="0" w:beforeLines="0"/>
        <w:ind w:left="281" w:hanging="281"/>
        <w:rPr>
          <w:color w:val="000000" w:themeColor="text1"/>
          <w:szCs w:val="28"/>
          <w14:textFill>
            <w14:solidFill>
              <w14:schemeClr w14:val="tx1"/>
            </w14:solidFill>
          </w14:textFill>
        </w:rPr>
      </w:pPr>
      <w:bookmarkStart w:id="39" w:name="_Toc116110894"/>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6疏散引导组</w:t>
      </w:r>
      <w:bookmarkEnd w:id="39"/>
    </w:p>
    <w:p>
      <w:pPr>
        <w:spacing w:before="0" w:beforeLines="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疏散引导组组长由</w:t>
      </w:r>
      <w:r>
        <w:rPr>
          <w:rFonts w:hint="eastAsia"/>
          <w:color w:val="000000" w:themeColor="text1"/>
          <w:lang w:val="en-US" w:eastAsia="zh-CN"/>
          <w14:textFill>
            <w14:solidFill>
              <w14:schemeClr w14:val="tx1"/>
            </w14:solidFill>
          </w14:textFill>
        </w:rPr>
        <w:t>高新区经济发展局局长王宪强</w:t>
      </w:r>
      <w:r>
        <w:rPr>
          <w:rFonts w:hint="eastAsia"/>
          <w:color w:val="000000" w:themeColor="text1"/>
          <w14:textFill>
            <w14:solidFill>
              <w14:schemeClr w14:val="tx1"/>
            </w14:solidFill>
          </w14:textFill>
        </w:rPr>
        <w:t>担任。</w:t>
      </w:r>
    </w:p>
    <w:p>
      <w:pPr>
        <w:spacing w:before="0" w:beforeLines="0"/>
        <w:ind w:firstLine="480"/>
        <w:rPr>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主要职责：</w:t>
      </w:r>
      <w:r>
        <w:rPr>
          <w:rFonts w:hint="eastAsia"/>
          <w:szCs w:val="21"/>
        </w:rPr>
        <w:t>负责事故应急状态下的现场警戒和保卫，维持现场秩序，阻止无关人员进入；负责应急情况下人员的疏散，保证人员安全撤离；负责事故现场交通秩序的维持和管理，保证交通路线畅通，保障救灾车辆、物资和人员安全、顺利地到达目的地</w:t>
      </w:r>
      <w:r>
        <w:rPr>
          <w:rFonts w:hint="eastAsia" w:ascii="宋体" w:hAnsi="宋体" w:cs="宋体"/>
          <w:color w:val="000000" w:themeColor="text1"/>
          <w:kern w:val="0"/>
          <w14:textFill>
            <w14:solidFill>
              <w14:schemeClr w14:val="tx1"/>
            </w14:solidFill>
          </w14:textFill>
        </w:rPr>
        <w:t>。</w:t>
      </w:r>
    </w:p>
    <w:p>
      <w:pPr>
        <w:pStyle w:val="5"/>
        <w:spacing w:before="0" w:beforeLines="0"/>
        <w:ind w:left="281" w:hanging="281"/>
        <w:rPr>
          <w:color w:val="000000" w:themeColor="text1"/>
          <w:szCs w:val="28"/>
          <w14:textFill>
            <w14:solidFill>
              <w14:schemeClr w14:val="tx1"/>
            </w14:solidFill>
          </w14:textFill>
        </w:rPr>
      </w:pPr>
      <w:bookmarkStart w:id="40" w:name="_Toc116110895"/>
      <w:r>
        <w:rPr>
          <w:color w:val="000000" w:themeColor="text1"/>
          <w:szCs w:val="28"/>
          <w14:textFill>
            <w14:solidFill>
              <w14:schemeClr w14:val="tx1"/>
            </w14:solidFill>
          </w14:textFill>
        </w:rPr>
        <w:t>2.</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7技术专家组</w:t>
      </w:r>
      <w:bookmarkEnd w:id="40"/>
    </w:p>
    <w:p>
      <w:pPr>
        <w:pStyle w:val="29"/>
        <w:spacing w:before="0" w:beforeLines="0" w:after="0" w:line="360" w:lineRule="auto"/>
        <w:ind w:left="0" w:leftChars="0" w:firstLine="480"/>
      </w:pPr>
      <w:r>
        <w:rPr>
          <w:rFonts w:hint="eastAsia"/>
        </w:rPr>
        <w:t>技术专家组组长为高新区管委会副主</w:t>
      </w:r>
      <w:r>
        <w:rPr>
          <w:rFonts w:hint="eastAsia"/>
          <w:szCs w:val="21"/>
        </w:rPr>
        <w:t>任张春民</w:t>
      </w:r>
      <w:r>
        <w:rPr>
          <w:rFonts w:hint="eastAsia" w:ascii="宋体" w:hAnsi="宋体" w:cs="宋体"/>
          <w:kern w:val="0"/>
        </w:rPr>
        <w:t>担任</w:t>
      </w:r>
      <w:r>
        <w:rPr>
          <w:rFonts w:hint="eastAsia"/>
        </w:rPr>
        <w:t>。成员由辽宁省、抚顺市应急救援专家组成。</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主要职责：高新区环境应急技术专家组由应急指挥部办公室负责组建，专家组由有关环境、安全、生产、法律和经济等方面应急管理专家组成。协助园区</w:t>
      </w:r>
      <w:r>
        <w:rPr>
          <w:rFonts w:hint="eastAsia"/>
        </w:rPr>
        <w:t>建立重大危险源、危险设施数据库，提供处置突发环境事件的专业咨询；参与制订突发事件应急预案，提出实施应急救援方案的具体建议和技术支持；为日常应急管理提供决策建议；参加事故现场应急处置工作和事故原因调研。</w:t>
      </w:r>
    </w:p>
    <w:p>
      <w:pPr>
        <w:pStyle w:val="4"/>
        <w:spacing w:before="156"/>
        <w:ind w:left="301" w:hanging="301"/>
        <w:rPr>
          <w:color w:val="000000" w:themeColor="text1"/>
          <w:szCs w:val="30"/>
          <w14:textFill>
            <w14:solidFill>
              <w14:schemeClr w14:val="tx1"/>
            </w14:solidFill>
          </w14:textFill>
        </w:rPr>
      </w:pPr>
      <w:bookmarkStart w:id="41" w:name="_Toc116110896"/>
      <w:r>
        <w:rPr>
          <w:rFonts w:hint="eastAsia"/>
          <w:color w:val="000000" w:themeColor="text1"/>
          <w:szCs w:val="30"/>
          <w14:textFill>
            <w14:solidFill>
              <w14:schemeClr w14:val="tx1"/>
            </w14:solidFill>
          </w14:textFill>
        </w:rPr>
        <w:t>2.3指挥关系</w:t>
      </w:r>
      <w:bookmarkEnd w:id="41"/>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一般（Ⅲ级）突发环境事件的应急救援指挥，原则上由企业突发环境应急指挥机构负责。当发生超出企业应急处置能力的突发环境事件时，企业报请高新区突发环境应急指挥部，参与应急处置工作。</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较大（Ⅱ级）突发环境事件的应急救援指挥，原则上由高新区突发环境应急指挥机构负责，企业应做好先期处置。待高新区环境应急指挥机构到位后，企业配合做好后续应急处置相关工作。</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重大（Ⅰ级）突发环境事件的应急救援指挥，由市环境应急指挥机构负责，高新区环境应急指挥机构负责指挥先期应急处置。待东洲区、市突发环境急指挥机构到位后，高新区环境应急指挥机构配合做好后续应急处置相关工作。</w:t>
      </w:r>
    </w:p>
    <w:p>
      <w:pPr>
        <w:pStyle w:val="2"/>
        <w:spacing w:before="0" w:beforeLines="0" w:after="0"/>
        <w:ind w:firstLine="480"/>
      </w:pPr>
    </w:p>
    <w:p>
      <w:pPr>
        <w:spacing w:before="163"/>
        <w:ind w:firstLine="480"/>
      </w:pPr>
    </w:p>
    <w:p>
      <w:pPr>
        <w:pStyle w:val="3"/>
        <w:snapToGrid w:val="0"/>
        <w:spacing w:before="0"/>
        <w:ind w:left="0" w:firstLine="0" w:firstLineChars="0"/>
        <w:rPr>
          <w:color w:val="000000" w:themeColor="text1"/>
          <w:szCs w:val="32"/>
          <w14:textFill>
            <w14:solidFill>
              <w14:schemeClr w14:val="tx1"/>
            </w14:solidFill>
          </w14:textFill>
        </w:rPr>
      </w:pPr>
      <w:bookmarkStart w:id="42" w:name="_Toc116110897"/>
      <w:r>
        <w:rPr>
          <w:color w:val="000000" w:themeColor="text1"/>
          <w:szCs w:val="32"/>
          <w14:textFill>
            <w14:solidFill>
              <w14:schemeClr w14:val="tx1"/>
            </w14:solidFill>
          </w14:textFill>
        </w:rPr>
        <w:t>3预防与预警</w:t>
      </w:r>
      <w:bookmarkEnd w:id="42"/>
    </w:p>
    <w:p>
      <w:pPr>
        <w:pStyle w:val="4"/>
        <w:spacing w:before="0"/>
        <w:ind w:left="301" w:hanging="301"/>
        <w:rPr>
          <w:rFonts w:ascii="宋体" w:hAnsi="宋体" w:cs="宋体"/>
          <w:color w:val="000000" w:themeColor="text1"/>
          <w:szCs w:val="30"/>
          <w14:textFill>
            <w14:solidFill>
              <w14:schemeClr w14:val="tx1"/>
            </w14:solidFill>
          </w14:textFill>
        </w:rPr>
      </w:pPr>
      <w:bookmarkStart w:id="43" w:name="3.1信息监控"/>
      <w:bookmarkEnd w:id="43"/>
      <w:bookmarkStart w:id="44" w:name="_bookmark17"/>
      <w:bookmarkEnd w:id="44"/>
      <w:bookmarkStart w:id="45" w:name="_Toc116110898"/>
      <w:r>
        <w:rPr>
          <w:color w:val="000000" w:themeColor="text1"/>
          <w:szCs w:val="30"/>
          <w14:textFill>
            <w14:solidFill>
              <w14:schemeClr w14:val="tx1"/>
            </w14:solidFill>
          </w14:textFill>
        </w:rPr>
        <w:t>3.1</w:t>
      </w:r>
      <w:r>
        <w:rPr>
          <w:rFonts w:hint="eastAsia" w:ascii="宋体" w:hAnsi="宋体" w:cs="宋体"/>
          <w:color w:val="000000" w:themeColor="text1"/>
          <w:szCs w:val="30"/>
          <w14:textFill>
            <w14:solidFill>
              <w14:schemeClr w14:val="tx1"/>
            </w14:solidFill>
          </w14:textFill>
        </w:rPr>
        <w:t>信息监控</w:t>
      </w:r>
      <w:bookmarkEnd w:id="4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应急指挥部各成员单位按照早发现、早报告、早处置的原则，开展对</w:t>
      </w:r>
      <w:r>
        <w:rPr>
          <w:rFonts w:hint="eastAsia" w:asciiTheme="minorEastAsia" w:hAnsiTheme="minorEastAsia" w:eastAsiaTheme="minorEastAsia"/>
          <w:color w:val="000000" w:themeColor="text1"/>
          <w14:textFill>
            <w14:solidFill>
              <w14:schemeClr w14:val="tx1"/>
            </w14:solidFill>
          </w14:textFill>
        </w:rPr>
        <w:t>园区</w:t>
      </w:r>
      <w:r>
        <w:rPr>
          <w:rFonts w:asciiTheme="minorEastAsia" w:hAnsiTheme="minorEastAsia" w:eastAsiaTheme="minorEastAsia"/>
          <w:color w:val="000000" w:themeColor="text1"/>
          <w14:textFill>
            <w14:solidFill>
              <w14:schemeClr w14:val="tx1"/>
            </w14:solidFill>
          </w14:textFill>
        </w:rPr>
        <w:t>内环境信息、自然灾害预警信息、常规环境监测数据的综合分析、风险评估工作，当发现或判断可能发生突发环境事件时，及时向</w:t>
      </w:r>
      <w:r>
        <w:rPr>
          <w:rFonts w:hint="eastAsia" w:asciiTheme="minorEastAsia" w:hAnsiTheme="minorEastAsia" w:eastAsiaTheme="minorEastAsia"/>
          <w:color w:val="000000" w:themeColor="text1"/>
          <w14:textFill>
            <w14:solidFill>
              <w14:schemeClr w14:val="tx1"/>
            </w14:solidFill>
          </w14:textFill>
        </w:rPr>
        <w:t>应急</w:t>
      </w:r>
      <w:r>
        <w:rPr>
          <w:rFonts w:asciiTheme="minorEastAsia" w:hAnsiTheme="minorEastAsia" w:eastAsiaTheme="minorEastAsia"/>
          <w:color w:val="000000" w:themeColor="text1"/>
          <w14:textFill>
            <w14:solidFill>
              <w14:schemeClr w14:val="tx1"/>
            </w14:solidFill>
          </w14:textFill>
        </w:rPr>
        <w:t>指挥部办公室报告。</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w:t>
      </w:r>
      <w:r>
        <w:rPr>
          <w:rFonts w:asciiTheme="minorEastAsia" w:hAnsiTheme="minorEastAsia" w:eastAsiaTheme="minorEastAsia"/>
          <w:color w:val="000000" w:themeColor="text1"/>
          <w14:textFill>
            <w14:solidFill>
              <w14:schemeClr w14:val="tx1"/>
            </w14:solidFill>
          </w14:textFill>
        </w:rPr>
        <w:t>指挥部办公室</w:t>
      </w:r>
      <w:r>
        <w:rPr>
          <w:rFonts w:hint="eastAsia" w:cs="宋体" w:asciiTheme="minorEastAsia" w:hAnsiTheme="minorEastAsia" w:eastAsiaTheme="minorEastAsia"/>
          <w:color w:val="000000" w:themeColor="text1"/>
          <w14:textFill>
            <w14:solidFill>
              <w14:schemeClr w14:val="tx1"/>
            </w14:solidFill>
          </w14:textFill>
        </w:rPr>
        <w:t>执行24小时值班制度，依托高新区管委会办公自动化系统网络，建立环境突发事件监测、预测、预警系统，有效地收集园区内和园区外对园区可能造成重大影响的环境突发事件信息，并进行风险分析和动态监测、预测。将分析及预判结果向应急指挥部领导小组进行汇报，及时启动应急预案将环境影响降到最低。</w:t>
      </w:r>
    </w:p>
    <w:p>
      <w:pPr>
        <w:pStyle w:val="4"/>
        <w:spacing w:before="0"/>
        <w:ind w:left="301" w:hanging="301"/>
        <w:rPr>
          <w:color w:val="000000" w:themeColor="text1"/>
          <w:szCs w:val="30"/>
          <w14:textFill>
            <w14:solidFill>
              <w14:schemeClr w14:val="tx1"/>
            </w14:solidFill>
          </w14:textFill>
        </w:rPr>
      </w:pPr>
      <w:bookmarkStart w:id="46" w:name="_Toc116110899"/>
      <w:r>
        <w:rPr>
          <w:color w:val="000000" w:themeColor="text1"/>
          <w:szCs w:val="30"/>
          <w14:textFill>
            <w14:solidFill>
              <w14:schemeClr w14:val="tx1"/>
            </w14:solidFill>
          </w14:textFill>
        </w:rPr>
        <w:t>3.</w:t>
      </w:r>
      <w:r>
        <w:rPr>
          <w:rFonts w:hint="eastAsia"/>
          <w:color w:val="000000" w:themeColor="text1"/>
          <w:szCs w:val="30"/>
          <w14:textFill>
            <w14:solidFill>
              <w14:schemeClr w14:val="tx1"/>
            </w14:solidFill>
          </w14:textFill>
        </w:rPr>
        <w:t>2环境风险源监控</w:t>
      </w:r>
      <w:bookmarkEnd w:id="4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高新区生态环境局、高新区应急管理局</w:t>
      </w:r>
      <w:r>
        <w:rPr>
          <w:color w:val="000000" w:themeColor="text1"/>
          <w14:textFill>
            <w14:solidFill>
              <w14:schemeClr w14:val="tx1"/>
            </w14:solidFill>
          </w14:textFill>
        </w:rPr>
        <w:t>及其他有关部门要加强日常</w:t>
      </w:r>
      <w:r>
        <w:rPr>
          <w:rFonts w:hint="eastAsia"/>
          <w:color w:val="000000" w:themeColor="text1"/>
          <w14:textFill>
            <w14:solidFill>
              <w14:schemeClr w14:val="tx1"/>
            </w14:solidFill>
          </w14:textFill>
        </w:rPr>
        <w:t>园区环境风险源监管工作</w:t>
      </w:r>
      <w:r>
        <w:rPr>
          <w:color w:val="000000" w:themeColor="text1"/>
          <w14:textFill>
            <w14:solidFill>
              <w14:schemeClr w14:val="tx1"/>
            </w14:solidFill>
          </w14:textFill>
        </w:rPr>
        <w:t>，对可能导致突发环境事件的风险信息</w:t>
      </w:r>
      <w:r>
        <w:rPr>
          <w:rFonts w:hint="eastAsia"/>
          <w:color w:val="000000" w:themeColor="text1"/>
          <w14:textFill>
            <w14:solidFill>
              <w14:schemeClr w14:val="tx1"/>
            </w14:solidFill>
          </w14:textFill>
        </w:rPr>
        <w:t>进行</w:t>
      </w:r>
      <w:r>
        <w:rPr>
          <w:color w:val="000000" w:themeColor="text1"/>
          <w14:textFill>
            <w14:solidFill>
              <w14:schemeClr w14:val="tx1"/>
            </w14:solidFill>
          </w14:textFill>
        </w:rPr>
        <w:t>收集、分析和研判。安全监管、交通运输、公安、住建、水利、气象等有关部门按照职责分工，及时将可能导致突发环境事件的信息通报</w:t>
      </w:r>
      <w:r>
        <w:rPr>
          <w:rFonts w:hint="eastAsia"/>
          <w:color w:val="000000" w:themeColor="text1"/>
          <w14:textFill>
            <w14:solidFill>
              <w14:schemeClr w14:val="tx1"/>
            </w14:solidFill>
          </w14:textFill>
        </w:rPr>
        <w:t>给应急救援指挥部办公室</w:t>
      </w:r>
      <w:r>
        <w:rPr>
          <w:color w:val="000000" w:themeColor="text1"/>
          <w14:textFill>
            <w14:solidFill>
              <w14:schemeClr w14:val="tx1"/>
            </w14:solidFill>
          </w14:textFill>
        </w:rPr>
        <w:t>。建立</w:t>
      </w:r>
      <w:r>
        <w:rPr>
          <w:rFonts w:hint="eastAsia"/>
          <w:color w:val="000000" w:themeColor="text1"/>
          <w14:textFill>
            <w14:solidFill>
              <w14:schemeClr w14:val="tx1"/>
            </w14:solidFill>
          </w14:textFill>
        </w:rPr>
        <w:t>安全生产、</w:t>
      </w:r>
      <w:r>
        <w:rPr>
          <w:color w:val="000000" w:themeColor="text1"/>
          <w14:textFill>
            <w14:solidFill>
              <w14:schemeClr w14:val="tx1"/>
            </w14:solidFill>
          </w14:textFill>
        </w:rPr>
        <w:t>消防</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联动机制</w:t>
      </w:r>
      <w:r>
        <w:rPr>
          <w:rFonts w:hint="eastAsia"/>
          <w:color w:val="000000" w:themeColor="text1"/>
          <w14:textFill>
            <w14:solidFill>
              <w14:schemeClr w14:val="tx1"/>
            </w14:solidFill>
          </w14:textFill>
        </w:rPr>
        <w:t>，建立</w:t>
      </w:r>
      <w:r>
        <w:rPr>
          <w:color w:val="000000" w:themeColor="text1"/>
          <w14:textFill>
            <w14:solidFill>
              <w14:schemeClr w14:val="tx1"/>
            </w14:solidFill>
          </w14:textFill>
        </w:rPr>
        <w:t>环境应急设施、应急监测、应急救援</w:t>
      </w:r>
      <w:r>
        <w:rPr>
          <w:rFonts w:hint="eastAsia"/>
          <w:color w:val="000000" w:themeColor="text1"/>
          <w14:textFill>
            <w14:solidFill>
              <w14:schemeClr w14:val="tx1"/>
            </w14:solidFill>
          </w14:textFill>
        </w:rPr>
        <w:t>物资等救援物质储备</w:t>
      </w:r>
      <w:r>
        <w:rPr>
          <w:color w:val="000000" w:themeColor="text1"/>
          <w14:textFill>
            <w14:solidFill>
              <w14:schemeClr w14:val="tx1"/>
            </w14:solidFill>
          </w14:textFill>
        </w:rPr>
        <w:t>，并定期进行有针对性的环境突发事故应急演练，确保周边环境安全。</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w:t>
      </w:r>
      <w:r>
        <w:rPr>
          <w:color w:val="000000" w:themeColor="text1"/>
          <w14:textFill>
            <w14:solidFill>
              <w14:schemeClr w14:val="tx1"/>
            </w14:solidFill>
          </w14:textFill>
        </w:rPr>
        <w:t>内企业应当落实环境安全主体责任，</w:t>
      </w:r>
      <w:r>
        <w:rPr>
          <w:rFonts w:hint="eastAsia"/>
          <w:color w:val="000000" w:themeColor="text1"/>
          <w14:textFill>
            <w14:solidFill>
              <w14:schemeClr w14:val="tx1"/>
            </w14:solidFill>
          </w14:textFill>
        </w:rPr>
        <w:t>按照企业制定的突发环境事件应急预案要求对</w:t>
      </w:r>
      <w:r>
        <w:rPr>
          <w:rFonts w:hint="eastAsia"/>
          <w:color w:val="000000" w:themeColor="text1"/>
          <w:lang w:val="en-US" w:eastAsia="zh-CN"/>
          <w14:textFill>
            <w14:solidFill>
              <w14:schemeClr w14:val="tx1"/>
            </w14:solidFill>
          </w14:textFill>
        </w:rPr>
        <w:t>企业内</w:t>
      </w:r>
      <w:r>
        <w:rPr>
          <w:rFonts w:hint="eastAsia"/>
          <w:color w:val="000000" w:themeColor="text1"/>
          <w14:textFill>
            <w14:solidFill>
              <w14:schemeClr w14:val="tx1"/>
            </w14:solidFill>
          </w14:textFill>
        </w:rPr>
        <w:t>风险源进行监控，</w:t>
      </w:r>
      <w:r>
        <w:rPr>
          <w:color w:val="000000" w:themeColor="text1"/>
          <w14:textFill>
            <w14:solidFill>
              <w14:schemeClr w14:val="tx1"/>
            </w14:solidFill>
          </w14:textFill>
        </w:rPr>
        <w:t>定期排查环境安全隐患，开展环境风险评估，健全风险防控</w:t>
      </w:r>
      <w:r>
        <w:rPr>
          <w:rFonts w:hint="eastAsia"/>
          <w:color w:val="000000" w:themeColor="text1"/>
          <w14:textFill>
            <w14:solidFill>
              <w14:schemeClr w14:val="tx1"/>
            </w14:solidFill>
          </w14:textFill>
        </w:rPr>
        <w:t>体系</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将突发环境事件应急预案演练和应急物资管理作为日常工作任务，不断提升环境风险防范应急保障能力。</w:t>
      </w:r>
      <w:r>
        <w:rPr>
          <w:color w:val="000000" w:themeColor="text1"/>
          <w14:textFill>
            <w14:solidFill>
              <w14:schemeClr w14:val="tx1"/>
            </w14:solidFill>
          </w14:textFill>
        </w:rPr>
        <w:t>出现可能导致突发环境事件的情况时，</w:t>
      </w:r>
      <w:r>
        <w:rPr>
          <w:rFonts w:hint="eastAsia"/>
          <w:color w:val="000000" w:themeColor="text1"/>
          <w14:textFill>
            <w14:solidFill>
              <w14:schemeClr w14:val="tx1"/>
            </w14:solidFill>
          </w14:textFill>
        </w:rPr>
        <w:t>企业</w:t>
      </w:r>
      <w:r>
        <w:rPr>
          <w:color w:val="000000" w:themeColor="text1"/>
          <w14:textFill>
            <w14:solidFill>
              <w14:schemeClr w14:val="tx1"/>
            </w14:solidFill>
          </w14:textFill>
        </w:rPr>
        <w:t>在先期处理的同时，立即</w:t>
      </w:r>
      <w:r>
        <w:rPr>
          <w:rFonts w:hint="eastAsia"/>
          <w:color w:val="000000" w:themeColor="text1"/>
          <w14:textFill>
            <w14:solidFill>
              <w14:schemeClr w14:val="tx1"/>
            </w14:solidFill>
          </w14:textFill>
        </w:rPr>
        <w:t>向高新区应急救援指挥部办公室进行</w:t>
      </w:r>
      <w:r>
        <w:rPr>
          <w:color w:val="000000" w:themeColor="text1"/>
          <w14:textFill>
            <w14:solidFill>
              <w14:schemeClr w14:val="tx1"/>
            </w14:solidFill>
          </w14:textFill>
        </w:rPr>
        <w:t>报告。</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企业与园区积极配合完善园区境风险预警、环境风险防控、环境应急保障体系。企业突发环境事件应急预案当与园区及周边企业应急预案相衔接，加强区域应急物资调配管理，构建区域环境风险联控机制。</w:t>
      </w:r>
    </w:p>
    <w:p>
      <w:pPr>
        <w:pStyle w:val="5"/>
        <w:spacing w:before="163"/>
        <w:ind w:left="281" w:hanging="281"/>
        <w:rPr>
          <w:color w:val="000000" w:themeColor="text1"/>
          <w:szCs w:val="28"/>
          <w14:textFill>
            <w14:solidFill>
              <w14:schemeClr w14:val="tx1"/>
            </w14:solidFill>
          </w14:textFill>
        </w:rPr>
      </w:pPr>
      <w:bookmarkStart w:id="47" w:name="_Toc116110900"/>
      <w:r>
        <w:rPr>
          <w:color w:val="000000" w:themeColor="text1"/>
          <w:szCs w:val="28"/>
          <w14:textFill>
            <w14:solidFill>
              <w14:schemeClr w14:val="tx1"/>
            </w14:solidFill>
          </w14:textFill>
        </w:rPr>
        <w:t>3.2.1开展</w:t>
      </w:r>
      <w:r>
        <w:rPr>
          <w:rFonts w:hint="eastAsia"/>
          <w:color w:val="000000" w:themeColor="text1"/>
          <w:szCs w:val="28"/>
          <w14:textFill>
            <w14:solidFill>
              <w14:schemeClr w14:val="tx1"/>
            </w14:solidFill>
          </w14:textFill>
        </w:rPr>
        <w:t>风险源</w:t>
      </w:r>
      <w:r>
        <w:rPr>
          <w:color w:val="000000" w:themeColor="text1"/>
          <w14:textFill>
            <w14:solidFill>
              <w14:schemeClr w14:val="tx1"/>
            </w14:solidFill>
          </w14:textFill>
        </w:rPr>
        <w:t>普查</w:t>
      </w:r>
      <w:bookmarkEnd w:id="47"/>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w:t>
      </w:r>
      <w:r>
        <w:rPr>
          <w:color w:val="000000" w:themeColor="text1"/>
          <w14:textFill>
            <w14:solidFill>
              <w14:schemeClr w14:val="tx1"/>
            </w14:solidFill>
          </w14:textFill>
        </w:rPr>
        <w:t>突发环境事件应急指挥部负责组织</w:t>
      </w:r>
      <w:r>
        <w:rPr>
          <w:rFonts w:hint="eastAsia"/>
          <w:color w:val="000000" w:themeColor="text1"/>
          <w14:textFill>
            <w14:solidFill>
              <w14:schemeClr w14:val="tx1"/>
            </w14:solidFill>
          </w14:textFill>
        </w:rPr>
        <w:t>生态环境</w:t>
      </w:r>
      <w:r>
        <w:rPr>
          <w:color w:val="000000" w:themeColor="text1"/>
          <w14:textFill>
            <w14:solidFill>
              <w14:schemeClr w14:val="tx1"/>
            </w14:solidFill>
          </w14:textFill>
        </w:rPr>
        <w:t>、安监、公安消防等部门对</w:t>
      </w:r>
      <w:r>
        <w:rPr>
          <w:rFonts w:hint="eastAsia"/>
          <w:color w:val="000000" w:themeColor="text1"/>
          <w14:textFill>
            <w14:solidFill>
              <w14:schemeClr w14:val="tx1"/>
            </w14:solidFill>
          </w14:textFill>
        </w:rPr>
        <w:t>园区内</w:t>
      </w:r>
      <w:r>
        <w:rPr>
          <w:color w:val="000000" w:themeColor="text1"/>
          <w14:textFill>
            <w14:solidFill>
              <w14:schemeClr w14:val="tx1"/>
            </w14:solidFill>
          </w14:textFill>
        </w:rPr>
        <w:t>企业存在的环境风险物质风险源开展普查工作，</w:t>
      </w:r>
      <w:r>
        <w:rPr>
          <w:rFonts w:hint="eastAsia"/>
          <w:color w:val="000000" w:themeColor="text1"/>
          <w14:textFill>
            <w14:solidFill>
              <w14:schemeClr w14:val="tx1"/>
            </w14:solidFill>
          </w14:textFill>
        </w:rPr>
        <w:t>制定风险物质储存和风险单元管理台帐，</w:t>
      </w:r>
      <w:r>
        <w:rPr>
          <w:color w:val="000000" w:themeColor="text1"/>
          <w14:textFill>
            <w14:solidFill>
              <w14:schemeClr w14:val="tx1"/>
            </w14:solidFill>
          </w14:textFill>
        </w:rPr>
        <w:t>强化日常环境风险管理，筛选和控制对环境构成主要危害的重点风险源。</w:t>
      </w:r>
    </w:p>
    <w:p>
      <w:pPr>
        <w:pStyle w:val="5"/>
        <w:spacing w:before="163"/>
        <w:ind w:left="281" w:hanging="281"/>
        <w:rPr>
          <w:color w:val="000000" w:themeColor="text1"/>
          <w:szCs w:val="28"/>
          <w14:textFill>
            <w14:solidFill>
              <w14:schemeClr w14:val="tx1"/>
            </w14:solidFill>
          </w14:textFill>
        </w:rPr>
      </w:pPr>
      <w:bookmarkStart w:id="48" w:name="_Toc116110901"/>
      <w:r>
        <w:rPr>
          <w:rFonts w:hint="eastAsia"/>
          <w:color w:val="000000" w:themeColor="text1"/>
          <w:szCs w:val="28"/>
          <w14:textFill>
            <w14:solidFill>
              <w14:schemeClr w14:val="tx1"/>
            </w14:solidFill>
          </w14:textFill>
        </w:rPr>
        <w:t>3.2.2加强环境事件风险评价和信息库建设</w:t>
      </w:r>
      <w:bookmarkEnd w:id="48"/>
    </w:p>
    <w:p>
      <w:pPr>
        <w:spacing w:before="0" w:beforeLines="0"/>
        <w:ind w:firstLine="468"/>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高新区环境</w:t>
      </w:r>
      <w:r>
        <w:rPr>
          <w:color w:val="000000" w:themeColor="text1"/>
          <w14:textFill>
            <w14:solidFill>
              <w14:schemeClr w14:val="tx1"/>
            </w14:solidFill>
          </w14:textFill>
        </w:rPr>
        <w:t>突发环境事件应急指挥部</w:t>
      </w:r>
      <w:r>
        <w:rPr>
          <w:rFonts w:hint="eastAsia"/>
          <w:color w:val="000000" w:themeColor="text1"/>
          <w14:textFill>
            <w14:solidFill>
              <w14:schemeClr w14:val="tx1"/>
            </w14:solidFill>
          </w14:textFill>
        </w:rPr>
        <w:t>办公室加强突发环境事件风险评价管理和事故防范宣传教育。高新区生态环境局会同抚顺市生态环境局东洲区分局对园区内存在环境事件隐患的重点企业进行环境风险核查和评估，评估报告评审后进行备案。督促园区企业、单位完成突发环境事件应急预案备案工作。</w:t>
      </w:r>
    </w:p>
    <w:p>
      <w:pPr>
        <w:pStyle w:val="2"/>
        <w:spacing w:before="0" w:beforeLines="0" w:after="0"/>
        <w:ind w:firstLine="468"/>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高新区环境</w:t>
      </w:r>
      <w:r>
        <w:rPr>
          <w:color w:val="000000" w:themeColor="text1"/>
          <w14:textFill>
            <w14:solidFill>
              <w14:schemeClr w14:val="tx1"/>
            </w14:solidFill>
          </w14:textFill>
        </w:rPr>
        <w:t>突发环境事件应急指挥部</w:t>
      </w:r>
      <w:r>
        <w:rPr>
          <w:rFonts w:hint="eastAsia"/>
          <w:color w:val="000000" w:themeColor="text1"/>
          <w14:textFill>
            <w14:solidFill>
              <w14:schemeClr w14:val="tx1"/>
            </w14:solidFill>
          </w14:textFill>
        </w:rPr>
        <w:t>根据园区发展状况，对园区可能发生的环境风险事件进行科学研究，预测、评估，调整园区环境突发事件风险评估等级。</w:t>
      </w:r>
    </w:p>
    <w:p>
      <w:pPr>
        <w:pStyle w:val="2"/>
        <w:spacing w:before="0" w:beforeLines="0" w:after="0"/>
        <w:ind w:firstLine="468"/>
      </w:pPr>
      <w:r>
        <w:rPr>
          <w:rFonts w:hint="eastAsia"/>
          <w:spacing w:val="-3"/>
        </w:rPr>
        <w:t>高新区环境</w:t>
      </w:r>
      <w:r>
        <w:t>突发环境事件应急指挥部</w:t>
      </w:r>
      <w:r>
        <w:rPr>
          <w:rFonts w:hint="eastAsia"/>
        </w:rPr>
        <w:t>建立了应急专家库，在发生突发环境事件时得到技术支撑。专家库见附件。</w:t>
      </w:r>
    </w:p>
    <w:p>
      <w:pPr>
        <w:pStyle w:val="4"/>
        <w:spacing w:before="0"/>
        <w:ind w:firstLine="0" w:firstLineChars="0"/>
        <w:rPr>
          <w:rFonts w:ascii="宋体" w:hAnsi="宋体" w:cs="宋体"/>
          <w:color w:val="000000" w:themeColor="text1"/>
          <w:szCs w:val="30"/>
          <w14:textFill>
            <w14:solidFill>
              <w14:schemeClr w14:val="tx1"/>
            </w14:solidFill>
          </w14:textFill>
        </w:rPr>
      </w:pPr>
      <w:bookmarkStart w:id="49" w:name="_Toc116110902"/>
      <w:r>
        <w:rPr>
          <w:color w:val="000000" w:themeColor="text1"/>
          <w:szCs w:val="30"/>
          <w14:textFill>
            <w14:solidFill>
              <w14:schemeClr w14:val="tx1"/>
            </w14:solidFill>
          </w14:textFill>
        </w:rPr>
        <w:t>3.3</w:t>
      </w:r>
      <w:r>
        <w:rPr>
          <w:rFonts w:hint="eastAsia" w:ascii="宋体" w:hAnsi="宋体" w:cs="宋体"/>
          <w:color w:val="000000" w:themeColor="text1"/>
          <w:szCs w:val="30"/>
          <w14:textFill>
            <w14:solidFill>
              <w14:schemeClr w14:val="tx1"/>
            </w14:solidFill>
          </w14:textFill>
        </w:rPr>
        <w:t>预警行动</w:t>
      </w:r>
      <w:bookmarkEnd w:id="49"/>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预警即是预测未来可能发生的危机和灾难，并预先对其进行准备和预防。事先预防胜过事后补救，可以最大限度减少生命财产的损失，提高人们的生存能力。</w:t>
      </w:r>
    </w:p>
    <w:p>
      <w:pPr>
        <w:widowControl/>
        <w:spacing w:before="0" w:beforeLines="0"/>
        <w:ind w:firstLine="480"/>
        <w:rPr>
          <w:rFonts w:ascii="宋体" w:hAnsi="宋体" w:cs="宋体"/>
          <w:kern w:val="0"/>
        </w:rPr>
      </w:pPr>
      <w:r>
        <w:rPr>
          <w:rFonts w:hint="eastAsia" w:ascii="宋体" w:hAnsi="宋体"/>
        </w:rPr>
        <w:t>1、应急办公室通过以下途径，获取环境突发事件预</w:t>
      </w:r>
      <w:r>
        <w:rPr>
          <w:rFonts w:hint="eastAsia" w:ascii="宋体" w:hAnsi="宋体" w:cs="宋体"/>
          <w:kern w:val="0"/>
        </w:rPr>
        <w:t>警</w:t>
      </w:r>
      <w:r>
        <w:rPr>
          <w:rFonts w:hint="eastAsia" w:ascii="宋体" w:hAnsi="宋体"/>
        </w:rPr>
        <w:t>信息。</w:t>
      </w:r>
    </w:p>
    <w:p>
      <w:pPr>
        <w:widowControl/>
        <w:spacing w:before="0" w:beforeLines="0"/>
        <w:ind w:firstLine="480"/>
        <w:rPr>
          <w:rFonts w:ascii="宋体" w:hAnsi="宋体" w:cs="宋体"/>
          <w:kern w:val="0"/>
        </w:rPr>
      </w:pPr>
      <w:r>
        <w:rPr>
          <w:rFonts w:hint="eastAsia" w:ascii="宋体" w:hAnsi="宋体" w:cs="宋体"/>
          <w:kern w:val="0"/>
        </w:rPr>
        <w:t>（1）报警系统发出报警信息。包括监控系统发出报警信号；</w:t>
      </w:r>
    </w:p>
    <w:p>
      <w:pPr>
        <w:widowControl/>
        <w:spacing w:before="0" w:beforeLines="0"/>
        <w:ind w:firstLine="480"/>
        <w:rPr>
          <w:rFonts w:ascii="宋体" w:hAnsi="宋体" w:cs="宋体"/>
          <w:kern w:val="0"/>
        </w:rPr>
      </w:pPr>
      <w:r>
        <w:rPr>
          <w:rFonts w:hint="eastAsia" w:ascii="宋体" w:hAnsi="宋体" w:cs="宋体"/>
          <w:kern w:val="0"/>
        </w:rPr>
        <w:t>（2）企业应急指挥部</w:t>
      </w:r>
      <w:r>
        <w:rPr>
          <w:rFonts w:hint="eastAsia" w:ascii="宋体" w:hAnsi="宋体"/>
        </w:rPr>
        <w:t>上报的预警信息；</w:t>
      </w:r>
    </w:p>
    <w:p>
      <w:pPr>
        <w:widowControl/>
        <w:spacing w:before="0" w:beforeLines="0"/>
        <w:ind w:firstLine="480"/>
        <w:rPr>
          <w:rFonts w:ascii="宋体" w:hAnsi="宋体" w:cs="宋体"/>
          <w:kern w:val="0"/>
        </w:rPr>
      </w:pPr>
      <w:r>
        <w:rPr>
          <w:rFonts w:hint="eastAsia" w:ascii="宋体" w:hAnsi="宋体" w:cs="宋体"/>
          <w:kern w:val="0"/>
        </w:rPr>
        <w:t>（3）监督检查中发现的重大隐患没有采取有效措施的；</w:t>
      </w:r>
    </w:p>
    <w:p>
      <w:pPr>
        <w:widowControl/>
        <w:spacing w:before="0" w:beforeLines="0"/>
        <w:ind w:firstLine="480"/>
        <w:rPr>
          <w:rFonts w:ascii="宋体" w:hAnsi="宋体" w:cs="宋体"/>
          <w:kern w:val="0"/>
        </w:rPr>
      </w:pPr>
      <w:r>
        <w:rPr>
          <w:rFonts w:hint="eastAsia" w:ascii="宋体" w:hAnsi="宋体"/>
        </w:rPr>
        <w:t>（4）上级政府主管部门向园区应急指挥部告知的预报信息。</w:t>
      </w:r>
    </w:p>
    <w:p>
      <w:pPr>
        <w:widowControl/>
        <w:spacing w:before="0" w:beforeLines="0"/>
        <w:ind w:firstLine="480"/>
        <w:rPr>
          <w:color w:val="000000" w:themeColor="text1"/>
          <w14:textFill>
            <w14:solidFill>
              <w14:schemeClr w14:val="tx1"/>
            </w14:solidFill>
          </w14:textFill>
        </w:rPr>
      </w:pPr>
      <w:r>
        <w:rPr>
          <w:rFonts w:hint="eastAsia" w:ascii="宋体" w:hAnsi="宋体" w:cs="宋体"/>
          <w:kern w:val="0"/>
        </w:rPr>
        <w:t>高新区环境应急指挥部，根据预报信息分析、判断突发事件的危害程度、紧急程度和发展态势。当发生突发事件的可能性和严重程度较大时，发出预警通知。各应急小组按预警程序采取行动，并按程序进行应急响应准备。</w:t>
      </w:r>
      <w:r>
        <w:rPr>
          <w:rFonts w:hint="eastAsia"/>
          <w:color w:val="000000" w:themeColor="text1"/>
          <w14:textFill>
            <w14:solidFill>
              <w14:schemeClr w14:val="tx1"/>
            </w14:solidFill>
          </w14:textFill>
        </w:rPr>
        <w:t>当应急救援指挥部认为事故较大，有可能超出园区处置能力时，应立即向东洲区、抚顺市人民政府报告，及时启动与上一级预案相衔接的预案，采取预警行动。</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预警信息包括突发事故的类别、预警级别、起始时间、可能影响范围、警示事项、各部门应采取的防范措施和发布机关等，主要发布途径有内部电话、紧急通知等。</w:t>
      </w:r>
    </w:p>
    <w:p>
      <w:pPr>
        <w:pStyle w:val="5"/>
        <w:spacing w:before="163"/>
        <w:ind w:left="281" w:hanging="281"/>
        <w:rPr>
          <w:color w:val="000000" w:themeColor="text1"/>
          <w:szCs w:val="28"/>
          <w14:textFill>
            <w14:solidFill>
              <w14:schemeClr w14:val="tx1"/>
            </w14:solidFill>
          </w14:textFill>
        </w:rPr>
      </w:pPr>
      <w:bookmarkStart w:id="50" w:name="_Toc116110903"/>
      <w:r>
        <w:rPr>
          <w:rFonts w:hint="eastAsia"/>
          <w:color w:val="000000" w:themeColor="text1"/>
          <w:szCs w:val="28"/>
          <w14:textFill>
            <w14:solidFill>
              <w14:schemeClr w14:val="tx1"/>
            </w14:solidFill>
          </w14:textFill>
        </w:rPr>
        <w:t>3.3.1预警分级</w:t>
      </w:r>
      <w:bookmarkEnd w:id="50"/>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根据环境污染、人体危害、经济损失和社会影响的程度，与本预案1.3突发环境事件分级相对应，预警级别分为三级，由低到高依次分别为Ⅲ级、Ⅱ级和Ⅰ级，依次用黄色、橙色和红色表示。</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Ⅲ级（黄色）预警：可能发生一般突发环境事件。</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Ⅱ级（橙色）预警：可能发生较大突发环境事件。</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Ⅰ级（红色）预警：可能发生重大突发环境事件。</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每级预警方式主要通过对讲机、固定电话和手机迅速进行，然后随事态的发展情况和采取措施的效果，预警可以升级、降级或解除。</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相关部门或人员收集到的有关信息证明突发环境事件即将发生或者发生的可能性增大时，按照预案进入预警状态。进入预警状态后，指挥部及有关部门应当会同发生事故的企业采取以下措施：</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（1）立即启动相关应急预案；</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（2）发布预警信息；</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（3）转移、撤离或者疏散可能受到危害的人员，并进行妥善安置；</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（4）指令各应急救援队伍进入应急状态，环境监测组立即通知协议单位开展应急监测，随时掌握并报告事态进展情况；</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（5）针对突发环境事件可能造成的危害，封闭、隔离或者限制使用有关场所，中止可能导致危害扩大的行为和活动；</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（6）调集事件应急所需物资和设备，确保应急保障工作；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（7）针对事件的严重程度决定是否对周边单位进行撤离以及采取相应的措施。</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高新区环境应急组织机构在无法甄别突发环境事件等级的情况下，应立即上报上级政府，由上级政府负责甄别环境事件等级。</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对污染危害不大、影响范围较小，尚达不到预警级别的突发环境事件，由各部门按照相关应急预案自行处置，并将处置结果按时上报指挥部。</w:t>
      </w:r>
    </w:p>
    <w:p>
      <w:pPr>
        <w:pStyle w:val="5"/>
        <w:spacing w:before="0" w:beforeLines="0"/>
        <w:ind w:left="281" w:hanging="281"/>
        <w:rPr>
          <w:color w:val="000000" w:themeColor="text1"/>
          <w:szCs w:val="28"/>
          <w14:textFill>
            <w14:solidFill>
              <w14:schemeClr w14:val="tx1"/>
            </w14:solidFill>
          </w14:textFill>
        </w:rPr>
      </w:pPr>
      <w:bookmarkStart w:id="51" w:name="_Toc90846569"/>
      <w:bookmarkStart w:id="52" w:name="_Toc116110904"/>
      <w:r>
        <w:rPr>
          <w:rFonts w:hint="eastAsia"/>
          <w:color w:val="000000" w:themeColor="text1"/>
          <w:szCs w:val="28"/>
          <w14:textFill>
            <w14:solidFill>
              <w14:schemeClr w14:val="tx1"/>
            </w14:solidFill>
          </w14:textFill>
        </w:rPr>
        <w:t>3.3.2建立警戒区</w:t>
      </w:r>
      <w:bookmarkEnd w:id="51"/>
      <w:bookmarkEnd w:id="52"/>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划定警戒区范围时，结合预警事件可能情形，依据突发环境事件涉及风险物质的易燃易爆及有毒特性、可能的泄漏量、当时的风速、风向、周边地形进行划定。若发生火灾事故，还要考虑可能的火焰辐射热及生成烟的波及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警戒范围确定后，做到以下几点：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（1）在通往事故现场的主要干道上实行交通管制；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（2）警戒区域的边界设警示标志并有专人警戒；</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（3）迅速将警戒区内与事故应急处理无关的人员撤离，减少不必要的人员伤亡；</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（4）除应急处理人员外，其他无关人员禁止进入警戒区；</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（5）警戒区域内严禁火种，包括手机、打火机、火柴等。</w:t>
      </w:r>
    </w:p>
    <w:p>
      <w:pPr>
        <w:pStyle w:val="5"/>
        <w:spacing w:before="163"/>
        <w:ind w:left="281" w:hanging="281"/>
        <w:rPr>
          <w:color w:val="000000" w:themeColor="text1"/>
          <w:szCs w:val="28"/>
          <w14:textFill>
            <w14:solidFill>
              <w14:schemeClr w14:val="tx1"/>
            </w14:solidFill>
          </w14:textFill>
        </w:rPr>
      </w:pPr>
      <w:bookmarkStart w:id="53" w:name="_Toc116110905"/>
      <w:r>
        <w:rPr>
          <w:rFonts w:hint="eastAsia"/>
          <w:color w:val="000000" w:themeColor="text1"/>
          <w:szCs w:val="28"/>
          <w14:textFill>
            <w14:solidFill>
              <w14:schemeClr w14:val="tx1"/>
            </w14:solidFill>
          </w14:textFill>
        </w:rPr>
        <w:t>3.3.3预警发布与解除</w:t>
      </w:r>
      <w:bookmarkEnd w:id="53"/>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预警发布</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Ⅲ级（黄色）预警：可能发生一般突发环境事件，园区企业应急救援指挥部为Ⅲ级应急管理指挥机构，负责企业的应急管理工作。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Ⅱ级（橙色）预警：可能发生较大突发环境事件，高新区应急指挥部为Ⅱ级应急管理指挥机构，突发环境事件应急救援办公室在突发环境事件发生时负责第一时间与事故企业（或单位）取得联系，并向应急指挥部领导小组汇报事故情况，经指挥部批准进行应急救援工作。</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Ⅰ级（红色）预警：可能发生重大突发环境事件，抚顺市突发环境事件应急指挥部为Ⅰ级应急管理指挥机构。当高新区发生的突发环境事件超出了高新区的范围，由高新区应急指挥部领导小组总指挥批准后，应急办公室负责报请由抚顺市突发环境事件应急指挥部负责组织实施综合应急救援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（2）预警发布内容及途径</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高新区应急办公室接到报告后，立即向应急领导小组报告，</w:t>
      </w:r>
      <w:r>
        <w:rPr>
          <w:rFonts w:hint="eastAsia" w:asciiTheme="minorEastAsia" w:hAnsiTheme="minorEastAsia" w:eastAsiaTheme="minorEastAsia"/>
          <w:szCs w:val="28"/>
        </w:rPr>
        <w:t>进行信息研判，决定是否发布预警</w:t>
      </w:r>
      <w:r>
        <w:rPr>
          <w:rFonts w:hint="eastAsia" w:asciiTheme="minorEastAsia" w:hAnsiTheme="minorEastAsia" w:eastAsiaTheme="minorEastAsia"/>
        </w:rPr>
        <w:t>。各级别预警的签发人为高新区应急指挥部领导小组总指挥。采取以下措施：</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如果可能发生</w:t>
      </w:r>
      <w:r>
        <w:rPr>
          <w:rFonts w:hint="eastAsia" w:asciiTheme="minorEastAsia" w:hAnsiTheme="minorEastAsia" w:eastAsiaTheme="minorEastAsia"/>
          <w:color w:val="000000" w:themeColor="text1"/>
          <w14:textFill>
            <w14:solidFill>
              <w14:schemeClr w14:val="tx1"/>
            </w14:solidFill>
          </w14:textFill>
        </w:rPr>
        <w:t>Ⅲ级</w:t>
      </w:r>
      <w:r>
        <w:rPr>
          <w:rFonts w:hint="eastAsia" w:asciiTheme="minorEastAsia" w:hAnsiTheme="minorEastAsia" w:eastAsiaTheme="minorEastAsia"/>
        </w:rPr>
        <w:t>环境事件，启动预警机制，下达预警指令；</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指令园区各应急小组做好应急准备；</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事件发生部位连续跟踪事态发展，并采取防范控制措施；</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达到突发事件</w:t>
      </w:r>
      <w:r>
        <w:rPr>
          <w:rFonts w:hint="eastAsia" w:asciiTheme="minorEastAsia" w:hAnsiTheme="minorEastAsia" w:eastAsiaTheme="minorEastAsia"/>
          <w:color w:val="000000" w:themeColor="text1"/>
          <w14:textFill>
            <w14:solidFill>
              <w14:schemeClr w14:val="tx1"/>
            </w14:solidFill>
          </w14:textFill>
        </w:rPr>
        <w:t>Ⅲ级</w:t>
      </w:r>
      <w:r>
        <w:rPr>
          <w:rFonts w:hint="eastAsia" w:asciiTheme="minorEastAsia" w:hAnsiTheme="minorEastAsia" w:eastAsiaTheme="minorEastAsia"/>
        </w:rPr>
        <w:t>标准时，指挥部启动应急响应；</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rPr>
        <w:t>如果突发事件的情势缓解，适时宣布预警解除。</w:t>
      </w:r>
    </w:p>
    <w:p>
      <w:pPr>
        <w:adjustRightInd w:val="0"/>
        <w:spacing w:before="0" w:beforeLines="0"/>
        <w:ind w:firstLine="480"/>
        <w:rPr>
          <w:rFonts w:asciiTheme="minorEastAsia" w:hAnsiTheme="minorEastAsia" w:eastAsiaTheme="minorEastAsia"/>
          <w:szCs w:val="28"/>
        </w:rPr>
      </w:pPr>
      <w:r>
        <w:rPr>
          <w:rFonts w:hint="eastAsia" w:asciiTheme="minorEastAsia" w:hAnsiTheme="minorEastAsia" w:eastAsiaTheme="minorEastAsia"/>
          <w:szCs w:val="28"/>
        </w:rPr>
        <w:t>当发生</w:t>
      </w:r>
      <w:r>
        <w:rPr>
          <w:rFonts w:hint="eastAsia" w:asciiTheme="minorEastAsia" w:hAnsiTheme="minorEastAsia" w:eastAsiaTheme="minorEastAsia"/>
          <w:color w:val="000000" w:themeColor="text1"/>
          <w14:textFill>
            <w14:solidFill>
              <w14:schemeClr w14:val="tx1"/>
            </w14:solidFill>
          </w14:textFill>
        </w:rPr>
        <w:t>Ⅲ级</w:t>
      </w:r>
      <w:r>
        <w:rPr>
          <w:rFonts w:hint="eastAsia" w:asciiTheme="minorEastAsia" w:hAnsiTheme="minorEastAsia" w:eastAsiaTheme="minorEastAsia"/>
          <w:szCs w:val="28"/>
        </w:rPr>
        <w:t>突发环境事件时，进入</w:t>
      </w:r>
      <w:r>
        <w:rPr>
          <w:rFonts w:hint="eastAsia" w:asciiTheme="minorEastAsia" w:hAnsiTheme="minorEastAsia" w:eastAsiaTheme="minorEastAsia"/>
          <w:color w:val="000000" w:themeColor="text1"/>
          <w14:textFill>
            <w14:solidFill>
              <w14:schemeClr w14:val="tx1"/>
            </w14:solidFill>
          </w14:textFill>
        </w:rPr>
        <w:t>黄色</w:t>
      </w:r>
      <w:r>
        <w:rPr>
          <w:rFonts w:hint="eastAsia" w:asciiTheme="minorEastAsia" w:hAnsiTheme="minorEastAsia" w:eastAsiaTheme="minorEastAsia"/>
          <w:szCs w:val="28"/>
        </w:rPr>
        <w:t>预警状态；</w:t>
      </w:r>
      <w:r>
        <w:rPr>
          <w:rFonts w:hint="eastAsia" w:asciiTheme="minorEastAsia" w:hAnsiTheme="minorEastAsia" w:eastAsiaTheme="minorEastAsia"/>
          <w:color w:val="000000" w:themeColor="text1"/>
          <w14:textFill>
            <w14:solidFill>
              <w14:schemeClr w14:val="tx1"/>
            </w14:solidFill>
          </w14:textFill>
        </w:rPr>
        <w:t>黄色</w:t>
      </w:r>
      <w:r>
        <w:rPr>
          <w:rFonts w:hint="eastAsia" w:asciiTheme="minorEastAsia" w:hAnsiTheme="minorEastAsia" w:eastAsiaTheme="minorEastAsia"/>
          <w:szCs w:val="28"/>
        </w:rPr>
        <w:t>预警是指突发环境事件影响范围主要控制在企业厂区内，园区应急救援组织处于应急准备的一种预警。</w:t>
      </w:r>
    </w:p>
    <w:p>
      <w:pPr>
        <w:adjustRightInd w:val="0"/>
        <w:spacing w:before="0" w:beforeLines="0"/>
        <w:ind w:firstLine="480"/>
        <w:rPr>
          <w:rFonts w:asciiTheme="minorEastAsia" w:hAnsiTheme="minorEastAsia" w:eastAsiaTheme="minorEastAsia"/>
          <w:szCs w:val="28"/>
        </w:rPr>
      </w:pPr>
      <w:r>
        <w:rPr>
          <w:rFonts w:hint="eastAsia" w:asciiTheme="minorEastAsia" w:hAnsiTheme="minorEastAsia" w:eastAsiaTheme="minorEastAsia"/>
          <w:szCs w:val="28"/>
        </w:rPr>
        <w:t>当发生</w:t>
      </w:r>
      <w:r>
        <w:rPr>
          <w:rFonts w:hint="eastAsia" w:asciiTheme="minorEastAsia" w:hAnsiTheme="minorEastAsia" w:eastAsiaTheme="minorEastAsia"/>
          <w:color w:val="000000" w:themeColor="text1"/>
          <w14:textFill>
            <w14:solidFill>
              <w14:schemeClr w14:val="tx1"/>
            </w14:solidFill>
          </w14:textFill>
        </w:rPr>
        <w:t>Ⅱ级</w:t>
      </w:r>
      <w:r>
        <w:rPr>
          <w:rFonts w:hint="eastAsia" w:asciiTheme="minorEastAsia" w:hAnsiTheme="minorEastAsia" w:eastAsiaTheme="minorEastAsia"/>
          <w:szCs w:val="28"/>
        </w:rPr>
        <w:t>突发环境事件时，进入</w:t>
      </w:r>
      <w:r>
        <w:rPr>
          <w:rFonts w:hint="eastAsia" w:asciiTheme="minorEastAsia" w:hAnsiTheme="minorEastAsia" w:eastAsiaTheme="minorEastAsia"/>
          <w:color w:val="000000" w:themeColor="text1"/>
          <w14:textFill>
            <w14:solidFill>
              <w14:schemeClr w14:val="tx1"/>
            </w14:solidFill>
          </w14:textFill>
        </w:rPr>
        <w:t>橙色</w:t>
      </w:r>
      <w:r>
        <w:rPr>
          <w:rFonts w:hint="eastAsia" w:asciiTheme="minorEastAsia" w:hAnsiTheme="minorEastAsia" w:eastAsiaTheme="minorEastAsia"/>
          <w:szCs w:val="28"/>
        </w:rPr>
        <w:t>预警状态。</w:t>
      </w:r>
      <w:r>
        <w:rPr>
          <w:rFonts w:hint="eastAsia" w:asciiTheme="minorEastAsia" w:hAnsiTheme="minorEastAsia" w:eastAsiaTheme="minorEastAsia"/>
          <w:color w:val="000000" w:themeColor="text1"/>
          <w14:textFill>
            <w14:solidFill>
              <w14:schemeClr w14:val="tx1"/>
            </w14:solidFill>
          </w14:textFill>
        </w:rPr>
        <w:t>橙色</w:t>
      </w:r>
      <w:r>
        <w:rPr>
          <w:rFonts w:hint="eastAsia" w:asciiTheme="minorEastAsia" w:hAnsiTheme="minorEastAsia" w:eastAsiaTheme="minorEastAsia"/>
          <w:szCs w:val="28"/>
        </w:rPr>
        <w:t>预警是指突发环境事件影响范围不能控制在事发企业内，需要调动园区力量进行救助，需要启动园区级突发事件应急响应的一种预警。</w:t>
      </w:r>
    </w:p>
    <w:p>
      <w:pPr>
        <w:adjustRightInd w:val="0"/>
        <w:spacing w:before="0" w:beforeLines="0"/>
        <w:ind w:firstLine="480"/>
        <w:rPr>
          <w:rFonts w:asciiTheme="minorEastAsia" w:hAnsiTheme="minorEastAsia" w:eastAsiaTheme="minorEastAsia"/>
          <w:szCs w:val="28"/>
        </w:rPr>
      </w:pPr>
      <w:r>
        <w:rPr>
          <w:rFonts w:hint="eastAsia" w:asciiTheme="minorEastAsia" w:hAnsiTheme="minorEastAsia" w:eastAsiaTheme="minorEastAsia"/>
          <w:szCs w:val="28"/>
        </w:rPr>
        <w:t>当发生Ⅰ级突发环境事件时，进入红色预警状态。红色预警是指突发环境事件影响范围不能控制在园区内，对园区外的环境造成影响，需要社会力量进行救助，需要启动园区以上级突发事件应急响应的一种预警。</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预警信息由园区应急办公室请示园区应急指挥部后，由总指挥同志签发，应急办公室以电话、电子邮件、传真、网络信息等方式发布，并及时上报东洲区政府、抚顺市政府。</w:t>
      </w:r>
      <w:r>
        <w:rPr>
          <w:rFonts w:asciiTheme="minorEastAsia" w:hAnsiTheme="minorEastAsia" w:eastAsiaTheme="minorEastAsia"/>
        </w:rPr>
        <w:t xml:space="preserve"> </w:t>
      </w:r>
    </w:p>
    <w:p>
      <w:pPr>
        <w:spacing w:before="0" w:beforeLines="0"/>
        <w:ind w:firstLine="480"/>
      </w:pPr>
      <w:r>
        <w:rPr>
          <w:rFonts w:hint="eastAsia"/>
        </w:rPr>
        <w:t>预警信息的发布流程如图下图3.3-1所示。</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（3）预警信息调整、更新及预警解除</w:t>
      </w:r>
    </w:p>
    <w:p>
      <w:pPr>
        <w:spacing w:before="0" w:beforeLines="0"/>
        <w:ind w:firstLine="480"/>
        <w:rPr>
          <w:rFonts w:ascii="宋体" w:hAnsi="宋体"/>
          <w:color w:val="000000"/>
        </w:rPr>
      </w:pPr>
      <w:r>
        <w:rPr>
          <w:rFonts w:hint="eastAsia" w:ascii="宋体" w:hAnsi="宋体"/>
          <w:color w:val="000000"/>
        </w:rPr>
        <w:t>预警信息发布后，最新会商结果认为区域污染等级将发生变化，已发预警需要升级或降级的，指挥部应急办按照预警发布程序调整预警级别；现场环境危害因素及污染物已得到有效控制，经应急办现场确认无环境污染风险后，应急办按照预警发布程序报批后解除相应等级预警。再次达到本预案规定的橙色、红色预警条件时，重新发布预警信息。</w:t>
      </w:r>
    </w:p>
    <w:p>
      <w:pPr>
        <w:pStyle w:val="2"/>
        <w:spacing w:before="163"/>
        <w:ind w:firstLine="480"/>
      </w:pPr>
      <w:r>
        <mc:AlternateContent>
          <mc:Choice Requires="wpg">
            <w:drawing>
              <wp:anchor distT="0" distB="0" distL="114300" distR="114300" simplePos="0" relativeHeight="251671552" behindDoc="0" locked="0" layoutInCell="1" allowOverlap="1">
                <wp:simplePos x="0" y="0"/>
                <wp:positionH relativeFrom="column">
                  <wp:posOffset>182880</wp:posOffset>
                </wp:positionH>
                <wp:positionV relativeFrom="paragraph">
                  <wp:posOffset>184785</wp:posOffset>
                </wp:positionV>
                <wp:extent cx="5276850" cy="3882390"/>
                <wp:effectExtent l="0" t="0" r="0" b="3810"/>
                <wp:wrapNone/>
                <wp:docPr id="3" name="组合 3"/>
                <wp:cNvGraphicFramePr/>
                <a:graphic xmlns:a="http://schemas.openxmlformats.org/drawingml/2006/main">
                  <a:graphicData uri="http://schemas.microsoft.com/office/word/2010/wordprocessingGroup">
                    <wpg:wgp>
                      <wpg:cNvGrpSpPr/>
                      <wpg:grpSpPr>
                        <a:xfrm>
                          <a:off x="0" y="0"/>
                          <a:ext cx="5276850" cy="3882390"/>
                          <a:chOff x="0" y="0"/>
                          <a:chExt cx="5276850" cy="3882390"/>
                        </a:xfrm>
                      </wpg:grpSpPr>
                      <pic:pic xmlns:pic="http://schemas.openxmlformats.org/drawingml/2006/picture">
                        <pic:nvPicPr>
                          <pic:cNvPr id="296" name="图片 296" descr="C:\Users\ADMINI~1\AppData\Local\Temp\1639876963(1).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6850" cy="3514725"/>
                          </a:xfrm>
                          <a:prstGeom prst="rect">
                            <a:avLst/>
                          </a:prstGeom>
                          <a:noFill/>
                          <a:ln>
                            <a:noFill/>
                          </a:ln>
                        </pic:spPr>
                      </pic:pic>
                      <wps:wsp>
                        <wps:cNvPr id="297" name="文本框 297"/>
                        <wps:cNvSpPr txBox="1">
                          <a:spLocks noChangeArrowheads="1"/>
                        </wps:cNvSpPr>
                        <wps:spPr bwMode="auto">
                          <a:xfrm>
                            <a:off x="1247775" y="3514725"/>
                            <a:ext cx="2635250" cy="367665"/>
                          </a:xfrm>
                          <a:prstGeom prst="rect">
                            <a:avLst/>
                          </a:prstGeom>
                          <a:noFill/>
                          <a:ln>
                            <a:noFill/>
                          </a:ln>
                          <a:effectLst/>
                        </wps:spPr>
                        <wps:txbx>
                          <w:txbxContent>
                            <w:p>
                              <w:pPr>
                                <w:spacing w:before="0" w:beforeLines="0"/>
                                <w:ind w:firstLine="420"/>
                                <w:rPr>
                                  <w:sz w:val="21"/>
                                  <w:szCs w:val="21"/>
                                </w:rPr>
                              </w:pPr>
                              <w:r>
                                <w:rPr>
                                  <w:rFonts w:hint="eastAsia" w:ascii="宋体" w:hAnsi="宋体"/>
                                  <w:sz w:val="21"/>
                                  <w:szCs w:val="21"/>
                                </w:rPr>
                                <w:t>图3.3-1   预警信息发布程序</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4.4pt;margin-top:14.55pt;height:305.7pt;width:415.5pt;z-index:251671552;mso-width-relative:page;mso-height-relative:page;" coordsize="5276850,3882390" o:gfxdata="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">
                <o:lock v:ext="edit" aspectratio="f"/>
                <v:shape id="_x0000_s1026" o:spid="_x0000_s1026" o:spt="75" alt="C:\Users\ADMINI~1\AppData\Local\Temp\1639876963(1).png" type="#_x0000_t75" style="position:absolute;left:0;top:0;height:3514725;width:5276850;" filled="f" o:preferrelative="t" stroked="f" coordsize="21600,21600" o:gfxdata="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0arpL4A&#10;AADcAAAADwAAAAAAAAABACAAAAAiAAAAZHJzL2Rvd25yZXYueG1sUEsBAhQAFAAAAAgAh07iQDMv&#10;BZ47AAAAOQAAABAAAAAAAAAAAQAgAAAADQEAAGRycy9zaGFwZXhtbC54bWxQSwUGAAAAAAYABgBb&#10;AQAAtwMAAAAA&#10;">
                  <v:fill on="f" focussize="0,0"/>
                  <v:stroke on="f"/>
                  <v:imagedata r:id="rId18" o:title=""/>
                  <o:lock v:ext="edit" aspectratio="t"/>
                </v:shape>
                <v:shape id="_x0000_s1026" o:spid="_x0000_s1026" o:spt="202" type="#_x0000_t202" style="position:absolute;left:1247775;top:3514725;height:367665;width:2635250;" filled="f" stroked="f" coordsize="21600,21600" o:gfxdata="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h04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spacing w:before="0" w:beforeLines="0"/>
                          <w:ind w:firstLine="420"/>
                          <w:rPr>
                            <w:sz w:val="21"/>
                            <w:szCs w:val="21"/>
                          </w:rPr>
                        </w:pPr>
                        <w:r>
                          <w:rPr>
                            <w:rFonts w:hint="eastAsia" w:ascii="宋体" w:hAnsi="宋体"/>
                            <w:sz w:val="21"/>
                            <w:szCs w:val="21"/>
                          </w:rPr>
                          <w:t>图3.3-1   预警信息发布程序</w:t>
                        </w:r>
                      </w:p>
                    </w:txbxContent>
                  </v:textbox>
                </v:shape>
              </v:group>
            </w:pict>
          </mc:Fallback>
        </mc:AlternateContent>
      </w: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4"/>
        <w:keepNext w:val="0"/>
        <w:keepLines w:val="0"/>
        <w:widowControl/>
        <w:tabs>
          <w:tab w:val="left" w:pos="576"/>
        </w:tabs>
        <w:spacing w:before="120" w:after="120" w:line="271" w:lineRule="auto"/>
        <w:ind w:firstLine="0" w:firstLineChars="0"/>
        <w:jc w:val="left"/>
        <w:rPr>
          <w:bCs/>
          <w:smallCaps/>
          <w:kern w:val="0"/>
          <w:sz w:val="28"/>
          <w:szCs w:val="28"/>
        </w:rPr>
      </w:pPr>
    </w:p>
    <w:p>
      <w:pPr>
        <w:spacing w:before="163"/>
        <w:ind w:firstLine="480"/>
        <w:rPr>
          <w:color w:val="000000" w:themeColor="text1"/>
          <w14:textFill>
            <w14:solidFill>
              <w14:schemeClr w14:val="tx1"/>
            </w14:solidFill>
          </w14:textFill>
        </w:rPr>
      </w:pPr>
    </w:p>
    <w:p>
      <w:pPr>
        <w:pStyle w:val="2"/>
        <w:spacing w:before="163"/>
        <w:ind w:firstLine="480"/>
      </w:pPr>
    </w:p>
    <w:p>
      <w:pPr>
        <w:pStyle w:val="2"/>
        <w:spacing w:before="163"/>
        <w:ind w:firstLine="480"/>
      </w:pPr>
    </w:p>
    <w:p>
      <w:pPr>
        <w:pStyle w:val="5"/>
        <w:spacing w:before="163"/>
        <w:ind w:left="281" w:hanging="281"/>
        <w:rPr>
          <w:color w:val="000000" w:themeColor="text1"/>
          <w:szCs w:val="28"/>
          <w14:textFill>
            <w14:solidFill>
              <w14:schemeClr w14:val="tx1"/>
            </w14:solidFill>
          </w14:textFill>
        </w:rPr>
      </w:pPr>
      <w:bookmarkStart w:id="54" w:name="_Toc116110906"/>
      <w:r>
        <w:rPr>
          <w:rFonts w:hint="eastAsia"/>
          <w:color w:val="000000" w:themeColor="text1"/>
          <w:szCs w:val="28"/>
          <w14:textFill>
            <w14:solidFill>
              <w14:schemeClr w14:val="tx1"/>
            </w14:solidFill>
          </w14:textFill>
        </w:rPr>
        <w:t>3.3.4预警措施</w:t>
      </w:r>
      <w:bookmarkEnd w:id="54"/>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1、当发布预警公告进入预警期后高新区管委会相关部门应当采取以下措施：</w:t>
      </w:r>
    </w:p>
    <w:p>
      <w:pPr>
        <w:pStyle w:val="2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（1）立即启动应急预案，指令高新区应急指挥部各成员单位进入应急状态</w:t>
      </w:r>
      <w:r>
        <w:rPr>
          <w:rFonts w:hint="eastAsia" w:asciiTheme="minorEastAsia" w:hAnsiTheme="minorEastAsia" w:eastAsiaTheme="minorEastAsia"/>
          <w:lang w:eastAsia="zh-CN"/>
        </w:rPr>
        <w:t>。</w:t>
      </w:r>
      <w:r>
        <w:rPr>
          <w:rFonts w:hint="eastAsia" w:asciiTheme="minorEastAsia" w:hAnsiTheme="minorEastAsia" w:eastAsiaTheme="minorEastAsia"/>
        </w:rPr>
        <w:t>由应急监测组通知辽宁万世环境检测有限公司、抚顺市绿谷源环境检测有限公司赶赴现场开展应急监测；协调辽宁省抚顺生态环境监测中心提供应急监测技术支援；协调石油二厂环保站适时开展应急监测，随时掌握并报告事态进展情况。应急救援组通知应急救援协议单位抚顺银隆建筑有限公司、辽宁中光城建工程有限公司准备好工程机械及人员。</w:t>
      </w:r>
    </w:p>
    <w:p>
      <w:pPr>
        <w:pStyle w:val="2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（2）应急办公室将预警公告与信息报送东洲区政府、抚顺市政府；</w:t>
      </w:r>
    </w:p>
    <w:p>
      <w:pPr>
        <w:pStyle w:val="2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（3）应急专家组立即组织有关部门和机构、专家及专业技术人员，及时对突发环境事件信息进行分析评估，预测发生突发环境事件可能性的大小、影响范围和强度以及事件级别；</w:t>
      </w:r>
      <w:r>
        <w:rPr>
          <w:rFonts w:asciiTheme="minorEastAsia" w:hAnsiTheme="minorEastAsia" w:eastAsiaTheme="minorEastAsia"/>
        </w:rPr>
        <w:t xml:space="preserve"> </w:t>
      </w:r>
    </w:p>
    <w:p>
      <w:pPr>
        <w:pStyle w:val="2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4）应急办公室及时收集、报告相关信息，向社会发布与公众有关的突发环境事件预测信息和分析评估结果，并对相关信息的报道工作进行管理；及时按照有关规定向社会发布可能受到突发环境事件危害的警告，宣传避免和减轻危害的常识，公布咨询电话。</w:t>
      </w:r>
    </w:p>
    <w:p>
      <w:pPr>
        <w:pStyle w:val="2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（5）物资保障组调集突发环境事件应急所需物资、装备设备，做好各类应急保障工作。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2、当发布Ⅱ级、Ⅰ级预警时，还应当采取下列一项或多项措施：</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（1）命令应急救援队伍和技术支撑队伍进行救援；</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（2）转移、撤离或者疏散可能受到危害的人员，并进行妥善安置；</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针对突发环境事件可能造成的危害，负有监管责任的有关部门对可能导致事件发生的有关生产经营单位实行停运、限产、停产等相应措施，封闭、隔离或者限制使用有关场所，中止或限制可能导致危害扩大的行为和活动；</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（4）采取必要措施，确保交通、通信、供水、排水、供电、供气、供热等公共设施的安全和正常运行，同时做好风险防范工作；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（5）调集应急所需物资和设备，做好应急保障工作，依法采取预警措施所涉及的生产经营单位和个人，应当按照有关法律规定承担相应的应急义务。</w:t>
      </w:r>
    </w:p>
    <w:p>
      <w:pPr>
        <w:pStyle w:val="4"/>
        <w:spacing w:before="0"/>
        <w:ind w:left="301" w:hanging="301"/>
        <w:rPr>
          <w:color w:val="000000" w:themeColor="text1"/>
          <w:szCs w:val="30"/>
          <w14:textFill>
            <w14:solidFill>
              <w14:schemeClr w14:val="tx1"/>
            </w14:solidFill>
          </w14:textFill>
        </w:rPr>
      </w:pPr>
      <w:bookmarkStart w:id="55" w:name="_Toc116110907"/>
      <w:r>
        <w:rPr>
          <w:rFonts w:hint="eastAsia"/>
          <w:color w:val="000000" w:themeColor="text1"/>
          <w:szCs w:val="30"/>
          <w14:textFill>
            <w14:solidFill>
              <w14:schemeClr w14:val="tx1"/>
            </w14:solidFill>
          </w14:textFill>
        </w:rPr>
        <w:t>3.4预防工作</w:t>
      </w:r>
      <w:bookmarkEnd w:id="55"/>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生产企业和经营单位应当落实环境安全主体责任，定期排查环境安全隐患、开展环境风险评估、健全风险防控措施，按照有关规定编制突发环境事件应急预案并报备至抚顺市生态环境局东洲分局。应急指挥部成员单位及有关部门应按照各自职责开展突发环境事件的预防工作。开展环境风险防范检查工作，依法组织对容易引发突发环境事件的生产经营单位及其周边环境保护目标进行调查、登记、风险评估，定期检查、监控，并责令有关单位落实各项风险防范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统筹协调与突发环境事件有关的其他突发事件的预防与应急措施，防止因其他突发事件次生或者因处置不当而引发突发环境事件。</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统筹安排应对突发环境事件所必需的物资、设备和基础设施建设，合理确定应急避难场所。</w:t>
      </w:r>
    </w:p>
    <w:p>
      <w:pPr>
        <w:pStyle w:val="3"/>
        <w:spacing w:before="156"/>
        <w:ind w:left="321" w:hanging="321"/>
        <w:rPr>
          <w:rFonts w:ascii="宋体" w:hAnsi="宋体" w:cs="宋体"/>
          <w:color w:val="000000" w:themeColor="text1"/>
          <w:szCs w:val="32"/>
          <w14:textFill>
            <w14:solidFill>
              <w14:schemeClr w14:val="tx1"/>
            </w14:solidFill>
          </w14:textFill>
        </w:rPr>
      </w:pPr>
      <w:bookmarkStart w:id="56" w:name="_Toc116110908"/>
      <w:r>
        <w:rPr>
          <w:color w:val="000000" w:themeColor="text1"/>
          <w:szCs w:val="32"/>
          <w14:textFill>
            <w14:solidFill>
              <w14:schemeClr w14:val="tx1"/>
            </w14:solidFill>
          </w14:textFill>
        </w:rPr>
        <w:t>4</w:t>
      </w:r>
      <w:r>
        <w:rPr>
          <w:rFonts w:hint="eastAsia" w:ascii="宋体" w:hAnsi="宋体" w:cs="宋体"/>
          <w:color w:val="000000" w:themeColor="text1"/>
          <w:szCs w:val="32"/>
          <w14:textFill>
            <w14:solidFill>
              <w14:schemeClr w14:val="tx1"/>
            </w14:solidFill>
          </w14:textFill>
        </w:rPr>
        <w:t>信息报告、上报、通报</w:t>
      </w:r>
      <w:bookmarkEnd w:id="56"/>
    </w:p>
    <w:p>
      <w:pPr>
        <w:pStyle w:val="4"/>
        <w:spacing w:before="156"/>
        <w:ind w:left="301" w:hanging="301"/>
        <w:rPr>
          <w:rFonts w:ascii="宋体" w:hAnsi="宋体" w:cs="宋体"/>
          <w:color w:val="000000" w:themeColor="text1"/>
          <w:szCs w:val="30"/>
          <w14:textFill>
            <w14:solidFill>
              <w14:schemeClr w14:val="tx1"/>
            </w14:solidFill>
          </w14:textFill>
        </w:rPr>
      </w:pPr>
      <w:bookmarkStart w:id="57" w:name="4.1信息报告"/>
      <w:bookmarkEnd w:id="57"/>
      <w:bookmarkStart w:id="58" w:name="_bookmark23"/>
      <w:bookmarkEnd w:id="58"/>
      <w:bookmarkStart w:id="59" w:name="_Toc116110909"/>
      <w:r>
        <w:rPr>
          <w:color w:val="000000" w:themeColor="text1"/>
          <w:szCs w:val="30"/>
          <w14:textFill>
            <w14:solidFill>
              <w14:schemeClr w14:val="tx1"/>
            </w14:solidFill>
          </w14:textFill>
        </w:rPr>
        <w:t>4.1</w:t>
      </w:r>
      <w:r>
        <w:rPr>
          <w:rFonts w:hint="eastAsia" w:ascii="宋体" w:hAnsi="宋体" w:cs="宋体"/>
          <w:color w:val="000000" w:themeColor="text1"/>
          <w:szCs w:val="30"/>
          <w14:textFill>
            <w14:solidFill>
              <w14:schemeClr w14:val="tx1"/>
            </w14:solidFill>
          </w14:textFill>
        </w:rPr>
        <w:t>信息报告</w:t>
      </w:r>
      <w:bookmarkEnd w:id="5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现或得知突发环境事件信息后，事故责任单位在启动本单位应急预案进行先期处置的同时，事件责任单位或现场公众应立即通过电话向高新区管理委员会及应急指挥部报告，1小时内向高新区管委会上报书面材料。高新区环境应急指挥部接到报告并组织调查核实后，立即电话报告东洲区人民政府、抚顺市人民政府和抚顺市生态环境局，并在1小时内上报书面材料。紧急信息边处置、边核实、边报告，最新处置进展情况要及时续报，事件处置结束后要尽快提供书面报告。</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报告内容如下：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①事故发生的时间和地点；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②事故类型：火灾、爆炸、泄漏（暂时状态、连续状态）；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③事故单位情况：名称、行业类型、企业规模等；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④事故污染物的种类、泄漏量、现场污染情况、污染持续的时间；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⑤事故简要经过、伤亡人数、直接经济损失的初步估算；</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⑥事故原因、性质的初步判定；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⑦事故抢救处理的情况和采取的措施；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⑧需要有关部门和单位协助事故抢救和处理的相关事宜；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⑨事故的报告单位、报告人姓名和电话、报告时间。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值班人员将事故情况迅速向抚顺市、东洲区突发环境应急救援指挥部报告，高新区应急指挥部总指挥根据环境污染事故的性质、危害程度等做出初步判断，再对环境污染事故进行分析，采取应急救援措施。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应急救援指挥部负责与园区内各企业成立突发环境事件应急救援指挥部保持密切联系。高新区应急办公室接到突发环境事件的报告及时将相关信息上报市、区级环境应急中心，保证应急处置信息的双向畅通。突发环境事件应急处理的有关信息要按照规定范围进行传播和交流。</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突发环境事件应急处置的有关信息主要包括事故发生后形成的信息和事故应急处置过程中随着应急处理的进展而发生变化的信息。</w:t>
      </w:r>
    </w:p>
    <w:p>
      <w:pPr>
        <w:pStyle w:val="4"/>
        <w:spacing w:before="156"/>
        <w:ind w:left="301" w:hanging="301"/>
        <w:rPr>
          <w:color w:val="000000" w:themeColor="text1"/>
          <w:szCs w:val="30"/>
          <w14:textFill>
            <w14:solidFill>
              <w14:schemeClr w14:val="tx1"/>
            </w14:solidFill>
          </w14:textFill>
        </w:rPr>
      </w:pPr>
      <w:bookmarkStart w:id="60" w:name="_Toc116110910"/>
      <w:r>
        <w:rPr>
          <w:rFonts w:hint="eastAsia"/>
          <w:color w:val="000000" w:themeColor="text1"/>
          <w:szCs w:val="30"/>
          <w14:textFill>
            <w14:solidFill>
              <w14:schemeClr w14:val="tx1"/>
            </w14:solidFill>
          </w14:textFill>
        </w:rPr>
        <w:t>4.2上报</w:t>
      </w:r>
      <w:bookmarkEnd w:id="60"/>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突发环境事件应急指挥部应根据上级有关要求在规定时间内向区、市两级人民政府和生态环境部门初报。随着事态变化情况以及应急处置工作的展开，陆续做好动态跟踪报告，直至事故消除或趋于稳定后，做好终报工作。</w:t>
      </w:r>
    </w:p>
    <w:p>
      <w:pPr>
        <w:pStyle w:val="5"/>
        <w:spacing w:before="163"/>
        <w:ind w:left="281" w:hanging="281"/>
        <w:rPr>
          <w:color w:val="000000" w:themeColor="text1"/>
          <w14:textFill>
            <w14:solidFill>
              <w14:schemeClr w14:val="tx1"/>
            </w14:solidFill>
          </w14:textFill>
        </w:rPr>
      </w:pPr>
      <w:bookmarkStart w:id="61" w:name="_Toc116110911"/>
      <w:r>
        <w:rPr>
          <w:color w:val="000000" w:themeColor="text1"/>
          <w14:textFill>
            <w14:solidFill>
              <w14:schemeClr w14:val="tx1"/>
            </w14:solidFill>
          </w14:textFill>
        </w:rPr>
        <w:t>4.2.1</w:t>
      </w:r>
      <w:r>
        <w:rPr>
          <w:rFonts w:hint="eastAsia"/>
          <w:color w:val="000000" w:themeColor="text1"/>
          <w14:textFill>
            <w14:solidFill>
              <w14:schemeClr w14:val="tx1"/>
            </w14:solidFill>
          </w14:textFill>
        </w:rPr>
        <w:t>信息报送内容</w:t>
      </w:r>
      <w:bookmarkEnd w:id="61"/>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（1）</w:t>
      </w:r>
      <w:r>
        <w:rPr>
          <w:rFonts w:hint="eastAsia" w:ascii="宋体" w:hAnsi="宋体"/>
          <w:color w:val="000000" w:themeColor="text1"/>
          <w14:textFill>
            <w14:solidFill>
              <w14:schemeClr w14:val="tx1"/>
            </w14:solidFill>
          </w14:textFill>
        </w:rPr>
        <w:t>初报</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①事件基本情况：事件、地点、信息来源、事件起因和性质、基本过程、主要污染物和数量、人员受害情况、环境敏感点受影响情况、企业基本情况；</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②已采取的措施：赶赴现场情况、采取处置措施情况、处置效果；</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③监测情况：布点监测方案、监测工作开展情况；</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④下一步工作：拟采取的主要措施。</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（2）续报</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①事件最新进展：人员、环境受影响最新情况、事件重大变化情况、采取应对措施的效果；</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②监测情况：取样监测的具体时间、监测结果超标情况；</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③下一步工作：需进一步采取的措施。</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（3）处理结果报告</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即总结报告，包括处理突发环境事件的措施、过程和结果，突发环境事件潜在或者间接危害以及损失、社会影响、处理后的遗留问题、责任追究等详细情况。</w:t>
      </w:r>
    </w:p>
    <w:p>
      <w:pPr>
        <w:pStyle w:val="29"/>
        <w:spacing w:before="0" w:beforeLines="0" w:after="0" w:line="360" w:lineRule="auto"/>
        <w:ind w:left="0" w:leftChars="0"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高新区应急办公室或者园区突发环境事件企业负责编制总结报告，于应急终止后30个工作日内上报高新区突发环境事件应急指挥部。</w:t>
      </w:r>
    </w:p>
    <w:p>
      <w:pPr>
        <w:pStyle w:val="5"/>
        <w:spacing w:before="163"/>
        <w:ind w:left="281" w:hanging="281"/>
        <w:rPr>
          <w:color w:val="000000" w:themeColor="text1"/>
          <w14:textFill>
            <w14:solidFill>
              <w14:schemeClr w14:val="tx1"/>
            </w14:solidFill>
          </w14:textFill>
        </w:rPr>
      </w:pPr>
      <w:bookmarkStart w:id="62" w:name="_Toc116110912"/>
      <w:r>
        <w:rPr>
          <w:color w:val="000000" w:themeColor="text1"/>
          <w14:textFill>
            <w14:solidFill>
              <w14:schemeClr w14:val="tx1"/>
            </w14:solidFill>
          </w14:textFill>
        </w:rPr>
        <w:t>4.2.2</w:t>
      </w:r>
      <w:r>
        <w:rPr>
          <w:rFonts w:hint="eastAsia"/>
          <w:color w:val="000000" w:themeColor="text1"/>
          <w14:textFill>
            <w14:solidFill>
              <w14:schemeClr w14:val="tx1"/>
            </w14:solidFill>
          </w14:textFill>
        </w:rPr>
        <w:t>信息报送程序和时限</w:t>
      </w:r>
      <w:bookmarkEnd w:id="62"/>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突发环境事件应急指挥部在接到突发环境事件报告后，在规定时间内向抚顺市、东洲区政府报告。信息上报内容应包括事件发生的时间、地点、类型和排放污染物的种类、数量、直接经济损失、已采取的应急措施，已污染的范围，潜在的危害程度，转化方式趋向，可能受影响区域及采取的措施建议等情况，并注意及时续报进展情况。紧急情况下，可以越级上报。</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当发生或判断可能发生突发环境事件时，生产经营单位或有关责任人应立即向高新区突发环境事件应急指挥部报告。</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高新区突发环境事件应急指挥部在发现或者得知突发环境事件信息后，应当立即进行核实，对突发环境事件的性质和类别作出初步认定。</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高新区突发环境事件应急指挥部应当根据突发环境事件的性质和类别，按照国家和省有关规定的时限、程序和其他要求报告信息。</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应急处置过程中事件级别发生变化的，应当按照变化后的级别报告信息。</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突发环境事件发生后，高新区应急指挥部成员单位应在半小时内向应急指挥部电话报告初步情况，1小时内书面报告基本情况，2小时内书面报告详细情况，并全程跟踪续报。</w:t>
      </w:r>
    </w:p>
    <w:p>
      <w:pPr>
        <w:pStyle w:val="5"/>
        <w:spacing w:before="163"/>
        <w:ind w:left="281" w:hanging="281"/>
        <w:rPr>
          <w:color w:val="000000" w:themeColor="text1"/>
          <w:szCs w:val="28"/>
          <w14:textFill>
            <w14:solidFill>
              <w14:schemeClr w14:val="tx1"/>
            </w14:solidFill>
          </w14:textFill>
        </w:rPr>
      </w:pPr>
      <w:bookmarkStart w:id="63" w:name="_Toc116110913"/>
      <w:r>
        <w:rPr>
          <w:color w:val="000000" w:themeColor="text1"/>
          <w:szCs w:val="28"/>
          <w14:textFill>
            <w14:solidFill>
              <w14:schemeClr w14:val="tx1"/>
            </w14:solidFill>
          </w14:textFill>
        </w:rPr>
        <w:t>4.2.3</w:t>
      </w:r>
      <w:r>
        <w:rPr>
          <w:rFonts w:hint="eastAsia"/>
          <w:color w:val="000000" w:themeColor="text1"/>
          <w:szCs w:val="28"/>
          <w14:textFill>
            <w14:solidFill>
              <w14:schemeClr w14:val="tx1"/>
            </w14:solidFill>
          </w14:textFill>
        </w:rPr>
        <w:t>信息报送形式</w:t>
      </w:r>
      <w:bookmarkEnd w:id="63"/>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事件信息应当采用传真、网络、邮寄和面呈等方式书面报告；情况紧急时，初报可通过电话报告，但应当及时补充书面报告。通过传真或网络发送突发环境事件信息报告后要主动致电确认对方是否收到传真或电子邮件。</w:t>
      </w:r>
    </w:p>
    <w:p>
      <w:pPr>
        <w:pStyle w:val="29"/>
        <w:spacing w:before="0" w:beforeLines="0" w:after="0" w:line="360" w:lineRule="auto"/>
        <w:ind w:left="0" w:leftChars="0" w:firstLine="480"/>
        <w:rPr>
          <w:rFonts w:ascii="Calibri" w:hAnsi="Calibri"/>
          <w:color w:val="000000" w:themeColor="text1"/>
          <w14:textFill>
            <w14:solidFill>
              <w14:schemeClr w14:val="tx1"/>
            </w14:solidFill>
          </w14:textFill>
        </w:rPr>
      </w:pPr>
      <w:r>
        <w:rPr>
          <w:rFonts w:hint="eastAsia" w:ascii="Calibri" w:hAnsi="Calibri"/>
          <w:color w:val="000000" w:themeColor="text1"/>
          <w14:textFill>
            <w14:solidFill>
              <w14:schemeClr w14:val="tx1"/>
            </w14:solidFill>
          </w14:textFill>
        </w:rPr>
        <w:t>书面报告中应载明突发环境事件报告单位、报告签发人、联系人及联系方式等内容，并尽可能提供地图、图片以及相关的多媒体资料。</w:t>
      </w:r>
    </w:p>
    <w:p>
      <w:pPr>
        <w:pStyle w:val="4"/>
        <w:spacing w:before="156"/>
        <w:ind w:left="301" w:hanging="301"/>
        <w:rPr>
          <w:color w:val="000000" w:themeColor="text1"/>
          <w14:textFill>
            <w14:solidFill>
              <w14:schemeClr w14:val="tx1"/>
            </w14:solidFill>
          </w14:textFill>
        </w:rPr>
      </w:pPr>
      <w:bookmarkStart w:id="64" w:name="_Toc116110914"/>
      <w:r>
        <w:rPr>
          <w:color w:val="000000" w:themeColor="text1"/>
          <w14:textFill>
            <w14:solidFill>
              <w14:schemeClr w14:val="tx1"/>
            </w14:solidFill>
          </w14:textFill>
        </w:rPr>
        <w:t>4.3</w:t>
      </w:r>
      <w:r>
        <w:rPr>
          <w:rFonts w:hint="eastAsia"/>
          <w:color w:val="000000" w:themeColor="text1"/>
          <w14:textFill>
            <w14:solidFill>
              <w14:schemeClr w14:val="tx1"/>
            </w14:solidFill>
          </w14:textFill>
        </w:rPr>
        <w:t>信息通报</w:t>
      </w:r>
      <w:bookmarkEnd w:id="64"/>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突发环境事件的生产经营单位，必须及时将有关情况通报可能受到污染危害的单位和居民。各级突发环境应急指挥机构在应急处置过程中，应及时向相关部门通报相关情况。高新区应急办负责将突发环境事件应对过程中采取的抢险、救援、处置措施上报抚顺市、东洲区政府。如突发环境事件已经或者可能涉及相邻行政区域的，高新区应急办在高新区应急指挥部授权后向相邻区域同级政府和相关部门进行通报。</w:t>
      </w:r>
    </w:p>
    <w:p>
      <w:pPr>
        <w:spacing w:before="0" w:beforeLines="0"/>
        <w:ind w:firstLine="480"/>
        <w:rPr>
          <w:rFonts w:ascii="宋体" w:hAnsi="宋体"/>
        </w:rPr>
      </w:pPr>
      <w:bookmarkStart w:id="65" w:name="_Toc26172"/>
      <w:bookmarkEnd w:id="65"/>
      <w:r>
        <w:rPr>
          <w:rFonts w:hint="eastAsia" w:ascii="宋体" w:hAnsi="宋体"/>
        </w:rPr>
        <w:t>高新区应急指挥部指派的发言人负责对外信息披露，未经授权任何人不得擅自对外发布信息和接受媒体采访。</w:t>
      </w:r>
    </w:p>
    <w:p>
      <w:pPr>
        <w:spacing w:before="0" w:beforeLines="0"/>
        <w:ind w:firstLine="480"/>
        <w:rPr>
          <w:rFonts w:ascii="宋体" w:hAnsi="宋体"/>
        </w:rPr>
      </w:pPr>
      <w:r>
        <w:rPr>
          <w:rFonts w:hint="eastAsia" w:ascii="宋体" w:hAnsi="宋体"/>
        </w:rPr>
        <w:t>当发生一级突发事件时，应急办公室及时制定信息发布的具体方案，确定参加发布会的主要媒体名单，公布信息发布的时间和场所。应在首次指挥部会议后一小时内完成新闻稿的草拟和送审，必要时应由法律顾问提供审核意见。</w:t>
      </w:r>
    </w:p>
    <w:p>
      <w:pPr>
        <w:spacing w:before="0" w:beforeLines="0"/>
        <w:ind w:firstLine="480"/>
        <w:rPr>
          <w:rFonts w:ascii="宋体" w:hAnsi="宋体"/>
        </w:rPr>
      </w:pPr>
      <w:r>
        <w:rPr>
          <w:rFonts w:hint="eastAsia" w:ascii="宋体" w:hAnsi="宋体"/>
        </w:rPr>
        <w:t>首次新闻发布内容应包括但不限于：突发事件的时间、地点、初步情况，以及对人员、环境、社会的影响，应急处置阶段性进展情况。</w:t>
      </w:r>
    </w:p>
    <w:p>
      <w:pPr>
        <w:spacing w:before="0" w:beforeLines="0"/>
        <w:ind w:firstLine="480"/>
        <w:rPr>
          <w:rFonts w:ascii="宋体" w:hAnsi="宋体"/>
        </w:rPr>
      </w:pPr>
      <w:r>
        <w:rPr>
          <w:rFonts w:hint="eastAsia" w:ascii="宋体" w:hAnsi="宋体"/>
        </w:rPr>
        <w:t>在新闻发布过程中，应实事求是、客观公正、内容详实、及时准确。媒体沟通的形式主要包括接受记者采访、举行新闻发布会、向媒体提供新闻稿件等。</w:t>
      </w:r>
    </w:p>
    <w:p>
      <w:pPr>
        <w:pStyle w:val="4"/>
        <w:spacing w:before="156"/>
        <w:ind w:left="301" w:hanging="301"/>
        <w:rPr>
          <w:color w:val="000000" w:themeColor="text1"/>
          <w14:textFill>
            <w14:solidFill>
              <w14:schemeClr w14:val="tx1"/>
            </w14:solidFill>
          </w14:textFill>
        </w:rPr>
      </w:pPr>
      <w:bookmarkStart w:id="66" w:name="_Toc178"/>
      <w:bookmarkEnd w:id="66"/>
      <w:bookmarkStart w:id="67" w:name="_Toc116110915"/>
      <w:r>
        <w:rPr>
          <w:color w:val="000000" w:themeColor="text1"/>
          <w14:textFill>
            <w14:solidFill>
              <w14:schemeClr w14:val="tx1"/>
            </w14:solidFill>
          </w14:textFill>
        </w:rPr>
        <w:t>4.4</w:t>
      </w:r>
      <w:r>
        <w:rPr>
          <w:rFonts w:hint="eastAsia"/>
          <w:color w:val="000000" w:themeColor="text1"/>
          <w14:textFill>
            <w14:solidFill>
              <w14:schemeClr w14:val="tx1"/>
            </w14:solidFill>
          </w14:textFill>
        </w:rPr>
        <w:t>特殊情况的信息处理</w:t>
      </w:r>
      <w:bookmarkEnd w:id="67"/>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如果突发环境事件的死亡、中毒、失踪、被困人员中有港澳台人员、外国人，或者事件可能影响到境外，需要向有关地区或国家进行通报时，报请市外事办协调处理。</w:t>
      </w:r>
    </w:p>
    <w:p>
      <w:pPr>
        <w:pStyle w:val="29"/>
        <w:spacing w:before="163"/>
        <w:ind w:left="480" w:firstLine="480"/>
        <w:rPr>
          <w:color w:val="000000" w:themeColor="text1"/>
          <w14:textFill>
            <w14:solidFill>
              <w14:schemeClr w14:val="tx1"/>
            </w14:solidFill>
          </w14:textFill>
        </w:rPr>
      </w:pPr>
    </w:p>
    <w:p>
      <w:pPr>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3"/>
        <w:spacing w:before="156"/>
        <w:ind w:left="321" w:hanging="321"/>
        <w:rPr>
          <w:color w:val="000000" w:themeColor="text1"/>
          <w14:textFill>
            <w14:solidFill>
              <w14:schemeClr w14:val="tx1"/>
            </w14:solidFill>
          </w14:textFill>
        </w:rPr>
      </w:pPr>
      <w:bookmarkStart w:id="68" w:name="_Toc116110916"/>
      <w:r>
        <w:rPr>
          <w:color w:val="000000" w:themeColor="text1"/>
          <w14:textFill>
            <w14:solidFill>
              <w14:schemeClr w14:val="tx1"/>
            </w14:solidFill>
          </w14:textFill>
        </w:rPr>
        <w:t>5</w:t>
      </w:r>
      <w:r>
        <w:rPr>
          <w:rFonts w:hint="eastAsia"/>
          <w:color w:val="000000" w:themeColor="text1"/>
          <w14:textFill>
            <w14:solidFill>
              <w14:schemeClr w14:val="tx1"/>
            </w14:solidFill>
          </w14:textFill>
        </w:rPr>
        <w:t>应急响应与救援措施</w:t>
      </w:r>
      <w:bookmarkEnd w:id="68"/>
    </w:p>
    <w:p>
      <w:pPr>
        <w:pStyle w:val="4"/>
        <w:spacing w:before="156"/>
        <w:ind w:left="301" w:hanging="301"/>
        <w:rPr>
          <w:color w:val="000000" w:themeColor="text1"/>
          <w14:textFill>
            <w14:solidFill>
              <w14:schemeClr w14:val="tx1"/>
            </w14:solidFill>
          </w14:textFill>
        </w:rPr>
      </w:pPr>
      <w:bookmarkStart w:id="69" w:name="_Toc116110917"/>
      <w:r>
        <w:rPr>
          <w:rFonts w:eastAsia="楷体"/>
          <w:color w:val="000000" w:themeColor="text1"/>
          <w14:textFill>
            <w14:solidFill>
              <w14:schemeClr w14:val="tx1"/>
            </w14:solidFill>
          </w14:textFill>
        </w:rPr>
        <w:t>5.1</w:t>
      </w:r>
      <w:r>
        <w:rPr>
          <w:rFonts w:hint="eastAsia"/>
          <w:color w:val="000000" w:themeColor="text1"/>
          <w14:textFill>
            <w14:solidFill>
              <w14:schemeClr w14:val="tx1"/>
            </w14:solidFill>
          </w14:textFill>
        </w:rPr>
        <w:t>分级响应机制</w:t>
      </w:r>
      <w:bookmarkEnd w:id="6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与突发环境事件分级相对应，分级响应按本预案2.3指挥关系实施。在上级环境应急指挥机构接管应急指挥权之前，发生突发环境事件的生产经营企业单位等各级环境应急指挥部应履行先期处置义务。</w:t>
      </w:r>
    </w:p>
    <w:p>
      <w:pPr>
        <w:pStyle w:val="5"/>
        <w:spacing w:before="163"/>
        <w:ind w:left="281" w:hanging="281"/>
        <w:rPr>
          <w:color w:val="000000" w:themeColor="text1"/>
          <w:szCs w:val="28"/>
          <w14:textFill>
            <w14:solidFill>
              <w14:schemeClr w14:val="tx1"/>
            </w14:solidFill>
          </w14:textFill>
        </w:rPr>
      </w:pPr>
      <w:bookmarkStart w:id="70" w:name="_Toc116110918"/>
      <w:r>
        <w:rPr>
          <w:rFonts w:hint="eastAsia"/>
          <w:color w:val="000000" w:themeColor="text1"/>
          <w:szCs w:val="28"/>
          <w14:textFill>
            <w14:solidFill>
              <w14:schemeClr w14:val="tx1"/>
            </w14:solidFill>
          </w14:textFill>
        </w:rPr>
        <w:t>5.1.1应急响应分级</w:t>
      </w:r>
      <w:bookmarkEnd w:id="70"/>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突发环境事件应急响应坚持属地管理原则。根据突发环境事件的可控性、严重程度和影响范围，园区实际情况，与突发环境事件和预警级别相对应进行应急响应。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（1）Ⅲ级应急响应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发生Ⅲ级一般突发环境事件时，由应急指挥部启动Ⅲ级响应，按下列程序进行应急响应：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1）涉事企业开通与高新区环境应急指挥机构、东洲区应急指挥机构、抚顺市应急指挥机构、相关专业应急指挥机构的通信联系，成立现场指挥部，指挥和组织应急处置工作；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2）组织应急专家进入现场，核实并分析现场情况，制定并组织实施应急处置方案；</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3）调集应急物资与装备，做好应急救援准备；</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 xml:space="preserve">4）高新区环境应急指挥部按规定向抚顺市东洲区政府、抚顺市政府、抚顺市生态环境局等有关部门报告事件和应急处置情况；  </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（2）Ⅱ级响应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实施Ⅲ级应急响应后，仍无法有效控制事态发展的重大突发环境事件，高新区环境应急指挥机构调整预案启动级别，实施Ⅱ级响应。应急响应工作指挥权由高新区应急指挥部负责。企业应急救援队伍在高新区应急指挥部指挥下，参与应急处置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发生Ⅱ级较大突发环境事件时，由应急指挥部启动Ⅱ级响应，在Ⅲ级应急响应的基础上，按下列程序进行应急响应：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1）立即启动突发环境事件Ⅱ级应急预案；</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2）应急领导小组指派现场指挥和全部应急小组进入现场，按照现场指挥部和专家制定的应急处置方案实施救援工作，将污染物控制在园区</w:t>
      </w:r>
      <w:r>
        <w:rPr>
          <w:rFonts w:hint="eastAsia" w:asciiTheme="minorEastAsia" w:hAnsiTheme="minorEastAsia" w:eastAsiaTheme="minorEastAsia"/>
          <w:color w:val="000000" w:themeColor="text1"/>
          <w:lang w:val="en-US" w:eastAsia="zh-CN"/>
          <w14:textFill>
            <w14:solidFill>
              <w14:schemeClr w14:val="tx1"/>
            </w14:solidFill>
          </w14:textFill>
        </w:rPr>
        <w:t>范</w:t>
      </w:r>
      <w:r>
        <w:rPr>
          <w:rFonts w:hint="eastAsia" w:asciiTheme="minorEastAsia" w:hAnsiTheme="minorEastAsia" w:eastAsiaTheme="minorEastAsia"/>
          <w:color w:val="000000" w:themeColor="text1"/>
          <w14:textFill>
            <w14:solidFill>
              <w14:schemeClr w14:val="tx1"/>
            </w14:solidFill>
          </w14:textFill>
        </w:rPr>
        <w:t>围内；</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3）明确划出警戒隔离区，指定救援物资集散地和疏散路线，引导撤离人员到安全避难场所；</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4）封闭、隔离或者限制使用有关场所，封锁交通，终止可能导致危害扩大的行为和活动；</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5）调集应急物资与装备，调派相关救援和技术支撑力量赶赴现场，实施应急处置；</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6）视情况决定是否请求支援。</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 xml:space="preserve">7）应急指挥部按规定向抚顺市东洲区政府、抚顺市政府、抚顺市生态环境局等有关部门报告事件和应急处置情况；  </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（3）Ⅰ级响应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实施Ⅱ级应急响应后，仍无法有效控制事态发展的特别重大突发环境事件，高新区环境应急指挥机构调整预案启动级别，实施Ⅰ级响应。向抚顺市、东洲区政府报告，请求应急支援。Ⅰ级响应工作指挥权由抚顺市应急指挥部负责，高新区应急救援队伍在抚顺市应急指挥部指挥下，参与应急处置工作。</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发生Ⅰ级重大突发环境事件时，由应急指挥部启动Ⅰ级响应，在Ⅱ级应急响应的基础上，按下列程序进行应急响应：</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1）立即启动突发环境事件Ⅰ级的应急预案；</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2）将现场情况及时准确地向向抚顺市东洲区政府、抚顺市政府、抚顺市生态环境局等有关部门报告事件和应急处置情况，并请求支援并请求上级应急指挥部启动上级突发环境事件应急预案；</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3）根据事件发展情况，调整环境监测点位，调整监测方案。</w:t>
      </w:r>
    </w:p>
    <w:p>
      <w:pPr>
        <w:pStyle w:val="5"/>
        <w:spacing w:before="163"/>
        <w:ind w:left="281" w:hanging="281"/>
        <w:rPr>
          <w:color w:val="000000" w:themeColor="text1"/>
          <w14:textFill>
            <w14:solidFill>
              <w14:schemeClr w14:val="tx1"/>
            </w14:solidFill>
          </w14:textFill>
        </w:rPr>
      </w:pPr>
      <w:bookmarkStart w:id="71" w:name="_Toc116110919"/>
      <w:r>
        <w:rPr>
          <w:color w:val="000000" w:themeColor="text1"/>
          <w14:textFill>
            <w14:solidFill>
              <w14:schemeClr w14:val="tx1"/>
            </w14:solidFill>
          </w14:textFill>
        </w:rPr>
        <w:t>5.1.2</w:t>
      </w:r>
      <w:r>
        <w:rPr>
          <w:rFonts w:hint="eastAsia"/>
          <w:color w:val="000000" w:themeColor="text1"/>
          <w14:textFill>
            <w14:solidFill>
              <w14:schemeClr w14:val="tx1"/>
            </w14:solidFill>
          </w14:textFill>
        </w:rPr>
        <w:t>响应流程</w:t>
      </w:r>
      <w:bookmarkEnd w:id="71"/>
    </w:p>
    <w:p>
      <w:pPr>
        <w:widowControl/>
        <w:spacing w:before="0" w:beforeLines="0"/>
        <w:ind w:firstLine="480"/>
        <w:rPr>
          <w:rFonts w:ascii="宋体" w:hAnsi="宋体"/>
        </w:rPr>
      </w:pPr>
      <w:r>
        <w:rPr>
          <w:rFonts w:hint="eastAsia" w:ascii="宋体" w:hAnsi="宋体"/>
          <w:kern w:val="0"/>
        </w:rPr>
        <w:t>当发生突发环境事件时，高新区环境应急指挥部办公室接到警情信息后，按照应急响应分级标准判断出相应警情，并经应急救援指挥部总指挥确认后启动应急救援程序。其响应程序如图5.1-1所示，</w:t>
      </w:r>
      <w:r>
        <w:rPr>
          <w:rFonts w:hint="eastAsia" w:ascii="宋体" w:hAnsi="宋体"/>
        </w:rPr>
        <w:t>应急响应流程关键程序如下：</w:t>
      </w:r>
    </w:p>
    <w:p>
      <w:pPr>
        <w:spacing w:before="0" w:beforeLines="0"/>
        <w:ind w:firstLine="480"/>
        <w:rPr>
          <w:rFonts w:ascii="宋体" w:hAnsi="宋体"/>
        </w:rPr>
      </w:pPr>
      <w:r>
        <w:rPr>
          <w:rFonts w:hint="eastAsia" w:ascii="宋体" w:hAnsi="宋体"/>
        </w:rPr>
        <w:t>接警：突发环境事件发生后，事件发生单位立即向高新区应急指挥部办公室报告，应急办公室立即通知应急人员进入救援状态；</w:t>
      </w:r>
    </w:p>
    <w:p>
      <w:pPr>
        <w:spacing w:before="0" w:beforeLines="0"/>
        <w:ind w:firstLine="480"/>
        <w:rPr>
          <w:rFonts w:ascii="宋体" w:hAnsi="宋体"/>
        </w:rPr>
      </w:pPr>
      <w:r>
        <w:rPr>
          <w:rFonts w:hint="eastAsia" w:ascii="宋体" w:hAnsi="宋体"/>
        </w:rPr>
        <w:t>警情判断：应急办公室会同生态保护、安全生产等部门根据现场情况判定事件级别，对不符合响应条件的事件，终止进程；符合响应条件的Ⅰ级、Ⅱ级事件，由应急办公室立即报告高新区应急指挥部。</w:t>
      </w:r>
    </w:p>
    <w:p>
      <w:pPr>
        <w:spacing w:before="0" w:beforeLines="0"/>
        <w:ind w:firstLine="480"/>
        <w:rPr>
          <w:rFonts w:ascii="宋体" w:hAnsi="宋体"/>
        </w:rPr>
      </w:pPr>
      <w:r>
        <w:rPr>
          <w:rFonts w:hint="eastAsia" w:ascii="宋体" w:hAnsi="宋体"/>
        </w:rPr>
        <w:t>应急启动：高新区应急指挥部接到报告后，由总指挥启动园区级应急预案。应急办公室向应急救援队伍下达指令，应急救援队伍立即赶赴现场实施消防、堵漏、人员救护等救援。</w:t>
      </w:r>
    </w:p>
    <w:p>
      <w:pPr>
        <w:spacing w:before="0" w:beforeLines="0"/>
        <w:ind w:firstLine="480"/>
        <w:rPr>
          <w:rFonts w:ascii="宋体" w:hAnsi="宋体"/>
        </w:rPr>
      </w:pPr>
      <w:r>
        <w:rPr>
          <w:rFonts w:hint="eastAsia" w:ascii="宋体" w:hAnsi="宋体"/>
        </w:rPr>
        <w:t>响应行动：应急办公室和各应急救援小组按照职责开展消防抢险、生产协调、现场监测、警戒与交通、人群疏散、医疗救护、安全与环保专家技术支持、信息通报等工作。</w:t>
      </w:r>
    </w:p>
    <w:p>
      <w:pPr>
        <w:spacing w:before="0" w:beforeLines="0"/>
        <w:ind w:firstLine="480"/>
        <w:rPr>
          <w:rFonts w:ascii="宋体" w:hAnsi="宋体"/>
        </w:rPr>
      </w:pPr>
      <w:r>
        <w:rPr>
          <w:rFonts w:hint="eastAsia" w:ascii="宋体" w:hAnsi="宋体"/>
        </w:rPr>
        <w:t>事态控制：应急指挥部根据现场救援情况，对事态控制情况做出判断，确定是否申请外部力量增援。</w:t>
      </w:r>
    </w:p>
    <w:p>
      <w:pPr>
        <w:spacing w:before="0" w:beforeLines="0"/>
        <w:ind w:firstLine="480"/>
        <w:rPr>
          <w:rFonts w:ascii="宋体" w:hAnsi="宋体"/>
        </w:rPr>
      </w:pPr>
      <w:r>
        <w:rPr>
          <w:rFonts w:hint="eastAsia" w:ascii="宋体" w:hAnsi="宋体"/>
        </w:rPr>
        <w:t>应急终止：事件已得到有效控制，救援结束。</w:t>
      </w:r>
    </w:p>
    <w:p>
      <w:pPr>
        <w:spacing w:before="0" w:beforeLines="0"/>
        <w:ind w:firstLine="480"/>
        <w:rPr>
          <w:rFonts w:ascii="宋体" w:hAnsi="宋体"/>
        </w:rPr>
      </w:pPr>
      <w:r>
        <w:rPr>
          <w:rFonts w:hint="eastAsia" w:ascii="宋体" w:hAnsi="宋体"/>
        </w:rPr>
        <w:t>应急恢复：救援结束后，清理现场、解除警戒，同时组织事故调查，以及开展善后处理工作。</w:t>
      </w:r>
    </w:p>
    <w:p>
      <w:pPr>
        <w:pStyle w:val="29"/>
        <w:spacing w:before="163"/>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1213485</wp:posOffset>
                </wp:positionH>
                <wp:positionV relativeFrom="paragraph">
                  <wp:posOffset>5130800</wp:posOffset>
                </wp:positionV>
                <wp:extent cx="3098800" cy="371475"/>
                <wp:effectExtent l="0" t="0" r="0" b="0"/>
                <wp:wrapNone/>
                <wp:docPr id="29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098800" cy="371475"/>
                        </a:xfrm>
                        <a:prstGeom prst="rect">
                          <a:avLst/>
                        </a:prstGeom>
                        <a:noFill/>
                        <a:ln w="9525">
                          <a:noFill/>
                          <a:miter lim="800000"/>
                        </a:ln>
                      </wps:spPr>
                      <wps:txbx>
                        <w:txbxContent>
                          <w:p>
                            <w:pPr>
                              <w:pStyle w:val="29"/>
                              <w:spacing w:before="0" w:beforeLines="0" w:after="0" w:line="360" w:lineRule="auto"/>
                              <w:ind w:left="48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图 5.1</w:t>
                            </w:r>
                            <w:r>
                              <w:rPr>
                                <w:rFonts w:asciiTheme="minorEastAsia" w:hAnsiTheme="minorEastAsia" w:eastAsiaTheme="minorEastAsia"/>
                                <w:color w:val="000000" w:themeColor="text1"/>
                                <w:sz w:val="21"/>
                                <w:szCs w:val="21"/>
                                <w14:textFill>
                                  <w14:solidFill>
                                    <w14:schemeClr w14:val="tx1"/>
                                  </w14:solidFill>
                                </w14:textFill>
                              </w:rPr>
                              <w:t xml:space="preserve">-1 </w:t>
                            </w:r>
                            <w:r>
                              <w:rPr>
                                <w:rFonts w:hint="eastAsia" w:asciiTheme="minorEastAsia" w:hAnsiTheme="minorEastAsia" w:eastAsiaTheme="minorEastAsia"/>
                                <w:color w:val="000000" w:themeColor="text1"/>
                                <w:sz w:val="21"/>
                                <w:szCs w:val="21"/>
                                <w14:textFill>
                                  <w14:solidFill>
                                    <w14:schemeClr w14:val="tx1"/>
                                  </w14:solidFill>
                                </w14:textFill>
                              </w:rPr>
                              <w:t>应急响应基本流程图</w:t>
                            </w:r>
                          </w:p>
                          <w:p>
                            <w:pPr>
                              <w:spacing w:before="163"/>
                              <w:ind w:firstLine="480"/>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5.55pt;margin-top:404pt;height:29.25pt;width:244pt;z-index:251672576;mso-width-relative:page;mso-height-relative:page;" filled="f" stroked="f" coordsize="21600,21600" o:gfxdata="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ud&#10;2cLXAAAACwEAAA8AAAAAAAAAAQAgAAAAIgAAAGRycy9kb3ducmV2LnhtbFBLAQIUABQAAAAIAIdO&#10;4kBw3phzJAIAACsEAAAOAAAAAAAAAAEAIAAAACYBAABkcnMvZTJvRG9jLnhtbFBLBQYAAAAABgAG&#10;AFkBAAC8BQAAAAA=&#10;">
                <v:fill on="f" focussize="0,0"/>
                <v:stroke on="f" miterlimit="8" joinstyle="miter"/>
                <v:imagedata o:title=""/>
                <o:lock v:ext="edit" aspectratio="f"/>
                <v:textbox>
                  <w:txbxContent>
                    <w:p>
                      <w:pPr>
                        <w:pStyle w:val="29"/>
                        <w:spacing w:before="0" w:beforeLines="0" w:after="0" w:line="360" w:lineRule="auto"/>
                        <w:ind w:left="48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图 5.1</w:t>
                      </w:r>
                      <w:r>
                        <w:rPr>
                          <w:rFonts w:asciiTheme="minorEastAsia" w:hAnsiTheme="minorEastAsia" w:eastAsiaTheme="minorEastAsia"/>
                          <w:color w:val="000000" w:themeColor="text1"/>
                          <w:sz w:val="21"/>
                          <w:szCs w:val="21"/>
                          <w14:textFill>
                            <w14:solidFill>
                              <w14:schemeClr w14:val="tx1"/>
                            </w14:solidFill>
                          </w14:textFill>
                        </w:rPr>
                        <w:t xml:space="preserve">-1 </w:t>
                      </w:r>
                      <w:r>
                        <w:rPr>
                          <w:rFonts w:hint="eastAsia" w:asciiTheme="minorEastAsia" w:hAnsiTheme="minorEastAsia" w:eastAsiaTheme="minorEastAsia"/>
                          <w:color w:val="000000" w:themeColor="text1"/>
                          <w:sz w:val="21"/>
                          <w:szCs w:val="21"/>
                          <w14:textFill>
                            <w14:solidFill>
                              <w14:schemeClr w14:val="tx1"/>
                            </w14:solidFill>
                          </w14:textFill>
                        </w:rPr>
                        <w:t>应急响应基本流程图</w:t>
                      </w:r>
                    </w:p>
                    <w:p>
                      <w:pPr>
                        <w:spacing w:before="163"/>
                        <w:ind w:firstLine="480"/>
                      </w:pPr>
                    </w:p>
                  </w:txbxContent>
                </v:textbox>
              </v:shape>
            </w:pict>
          </mc:Fallback>
        </mc:AlternateContent>
      </w:r>
      <w:r>
        <w:rPr>
          <w:rFonts w:hint="eastAsia"/>
          <w:color w:val="000000" w:themeColor="text1"/>
          <w14:textFill>
            <w14:solidFill>
              <w14:schemeClr w14:val="tx1"/>
            </w14:solidFill>
          </w14:textFill>
        </w:rPr>
        <w:drawing>
          <wp:inline distT="0" distB="0" distL="114300" distR="114300">
            <wp:extent cx="5274310" cy="5551170"/>
            <wp:effectExtent l="0" t="0" r="13970" b="11430"/>
            <wp:docPr id="125" name="图片 1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图片1"/>
                    <pic:cNvPicPr>
                      <a:picLocks noChangeAspect="1"/>
                    </pic:cNvPicPr>
                  </pic:nvPicPr>
                  <pic:blipFill>
                    <a:blip r:embed="rId19"/>
                    <a:stretch>
                      <a:fillRect/>
                    </a:stretch>
                  </pic:blipFill>
                  <pic:spPr>
                    <a:xfrm>
                      <a:off x="0" y="0"/>
                      <a:ext cx="5274310" cy="5551170"/>
                    </a:xfrm>
                    <a:prstGeom prst="rect">
                      <a:avLst/>
                    </a:prstGeom>
                  </pic:spPr>
                </pic:pic>
              </a:graphicData>
            </a:graphic>
          </wp:inline>
        </w:drawing>
      </w:r>
    </w:p>
    <w:p>
      <w:pPr>
        <w:pStyle w:val="5"/>
        <w:spacing w:before="163"/>
        <w:ind w:left="281" w:hanging="281"/>
        <w:rPr>
          <w:color w:val="000000" w:themeColor="text1"/>
          <w14:textFill>
            <w14:solidFill>
              <w14:schemeClr w14:val="tx1"/>
            </w14:solidFill>
          </w14:textFill>
        </w:rPr>
      </w:pPr>
      <w:bookmarkStart w:id="72" w:name="_Toc116110920"/>
      <w:r>
        <w:rPr>
          <w:rFonts w:hint="eastAsia"/>
          <w:color w:val="000000" w:themeColor="text1"/>
          <w14:textFill>
            <w14:solidFill>
              <w14:schemeClr w14:val="tx1"/>
            </w14:solidFill>
          </w14:textFill>
        </w:rPr>
        <w:t>5.1.3环境应急现场指挥部</w:t>
      </w:r>
      <w:bookmarkEnd w:id="72"/>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突发环境事件时，高新区突发环境事件应急指挥部立即通知应急救援小组和成员单位等立即赶往现场，成立环境应急现场指挥部，开展现场应急处置工作。发生较大及以上突发环境事件时，根据现场处置情况将指挥权移交上级应急指挥部门。</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现场指挥部负责人由先期到达现场的救援小组或高新区应急指指挥部人员担任。</w:t>
      </w:r>
    </w:p>
    <w:p>
      <w:pPr>
        <w:pStyle w:val="4"/>
        <w:spacing w:before="156"/>
        <w:ind w:left="301" w:hanging="301"/>
        <w:rPr>
          <w:color w:val="000000" w:themeColor="text1"/>
          <w14:textFill>
            <w14:solidFill>
              <w14:schemeClr w14:val="tx1"/>
            </w14:solidFill>
          </w14:textFill>
        </w:rPr>
      </w:pPr>
      <w:bookmarkStart w:id="73" w:name="_Toc116110921"/>
      <w:r>
        <w:rPr>
          <w:rFonts w:hint="eastAsia"/>
          <w:color w:val="000000" w:themeColor="text1"/>
          <w14:textFill>
            <w14:solidFill>
              <w14:schemeClr w14:val="tx1"/>
            </w14:solidFill>
          </w14:textFill>
        </w:rPr>
        <w:t>5.2应急响应程序</w:t>
      </w:r>
      <w:bookmarkEnd w:id="73"/>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进入启动状态时，根据事件发展态势和现场救援进行情况，执行如下应急响应：</w:t>
      </w:r>
    </w:p>
    <w:p>
      <w:pPr>
        <w:pStyle w:val="5"/>
        <w:spacing w:before="163"/>
        <w:ind w:left="281" w:hanging="281"/>
        <w:rPr>
          <w:color w:val="000000" w:themeColor="text1"/>
          <w14:textFill>
            <w14:solidFill>
              <w14:schemeClr w14:val="tx1"/>
            </w14:solidFill>
          </w14:textFill>
        </w:rPr>
      </w:pPr>
      <w:bookmarkStart w:id="74" w:name="_Toc116110922"/>
      <w:r>
        <w:rPr>
          <w:rFonts w:hint="eastAsia"/>
          <w:color w:val="000000" w:themeColor="text1"/>
          <w14:textFill>
            <w14:solidFill>
              <w14:schemeClr w14:val="tx1"/>
            </w14:solidFill>
          </w14:textFill>
        </w:rPr>
        <w:t>5.2.1企业内部响应</w:t>
      </w:r>
      <w:bookmarkEnd w:id="7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企业现场工作人员发现装置或储存场所发生事故，发现人立即报告当班负责人，当班负责人按照事故企业预案要求，立即组织人员采取工艺控制措施。如已发生火灾、爆炸事故，要及时报火警，并立即报告车间负责人和企业调度室；企业负责人接到报告后立即启动企业突发环境风险应急预案，组织各应急救援小分队进行初期救援抢险工作。</w:t>
      </w:r>
    </w:p>
    <w:p>
      <w:pPr>
        <w:pStyle w:val="5"/>
        <w:spacing w:before="163"/>
        <w:ind w:left="281" w:hanging="281"/>
        <w:rPr>
          <w:color w:val="000000" w:themeColor="text1"/>
          <w14:textFill>
            <w14:solidFill>
              <w14:schemeClr w14:val="tx1"/>
            </w14:solidFill>
          </w14:textFill>
        </w:rPr>
      </w:pPr>
      <w:bookmarkStart w:id="75" w:name="_Toc116110923"/>
      <w:r>
        <w:rPr>
          <w:rFonts w:hint="eastAsia"/>
          <w:color w:val="000000" w:themeColor="text1"/>
          <w14:textFill>
            <w14:solidFill>
              <w14:schemeClr w14:val="tx1"/>
            </w14:solidFill>
          </w14:textFill>
        </w:rPr>
        <w:t>5.2.2园区内部响应</w:t>
      </w:r>
      <w:bookmarkEnd w:id="75"/>
    </w:p>
    <w:p>
      <w:pPr>
        <w:pStyle w:val="6"/>
        <w:spacing w:before="156"/>
        <w:ind w:left="241" w:hanging="241"/>
        <w:rPr>
          <w:color w:val="000000" w:themeColor="text1"/>
          <w14:textFill>
            <w14:solidFill>
              <w14:schemeClr w14:val="tx1"/>
            </w14:solidFill>
          </w14:textFill>
        </w:rPr>
      </w:pPr>
      <w:r>
        <w:rPr>
          <w:rFonts w:hint="eastAsia"/>
          <w:color w:val="000000" w:themeColor="text1"/>
          <w14:textFill>
            <w14:solidFill>
              <w14:schemeClr w14:val="tx1"/>
            </w14:solidFill>
          </w14:textFill>
        </w:rPr>
        <w:t>5.2.2.1应急响应及处置</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突发环境事件后，高新区应急救援指挥部迅速调集力量，尽快判明事件性质和危害程度，及时采取相应的处置措施，全力控制事态发展，减少财产损失和社会影响，并及时向上级人民政府和环境主管部门报告。</w:t>
      </w:r>
    </w:p>
    <w:p>
      <w:pPr>
        <w:pStyle w:val="6"/>
        <w:spacing w:before="156"/>
        <w:ind w:left="241" w:hanging="241"/>
        <w:rPr>
          <w:color w:val="000000" w:themeColor="text1"/>
          <w14:textFill>
            <w14:solidFill>
              <w14:schemeClr w14:val="tx1"/>
            </w14:solidFill>
          </w14:textFill>
        </w:rPr>
      </w:pPr>
      <w:r>
        <w:rPr>
          <w:rFonts w:hint="eastAsia"/>
          <w:color w:val="000000" w:themeColor="text1"/>
          <w14:textFill>
            <w14:solidFill>
              <w14:schemeClr w14:val="tx1"/>
            </w14:solidFill>
          </w14:textFill>
        </w:rPr>
        <w:t>5.2.2.2现场警戒与人员疏散</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突发环境事件时，高新区应急疏散引导组根据突发环境事件现场风向情况，组织做好事故现场人员向应急避难所方向撤离、周边警戒和交通疏导工作。园内道路均为双向道路，人员撤离时根据风向、最近避难所位置选择撤离路线。高新区物资保障组迅速组织急救人员开展受伤人员抢救工作，最大限度地减少人员伤亡。应急监测组配合应急监测单位迅速开展环境应急监测工作，判断事故性质、类别、影响范围等基本情况。</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高新区应急救援指挥部汇总现场信息后，立即将人员、环境受影响最新情况、事件重大变化情况、采取应对措施的效果等及时上报东洲区政府必要时需向上级政府汇报。</w:t>
      </w:r>
    </w:p>
    <w:p>
      <w:pPr>
        <w:pStyle w:val="6"/>
        <w:spacing w:before="156"/>
        <w:ind w:left="241" w:hanging="241"/>
        <w:rPr>
          <w:color w:val="000000" w:themeColor="text1"/>
          <w14:textFill>
            <w14:solidFill>
              <w14:schemeClr w14:val="tx1"/>
            </w14:solidFill>
          </w14:textFill>
        </w:rPr>
      </w:pPr>
      <w:r>
        <w:rPr>
          <w:rFonts w:hint="eastAsia"/>
          <w:color w:val="000000" w:themeColor="text1"/>
          <w14:textFill>
            <w14:solidFill>
              <w14:schemeClr w14:val="tx1"/>
            </w14:solidFill>
          </w14:textFill>
        </w:rPr>
        <w:t>5.2.2.3现场处置方案的制定</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场处置方案由高新区应急救援指挥部办公室、应急救援组和技术专家组制订，由专家组制定现场处置方案并通过应急指挥部批准后实施。现场处置要及时、彻底消除风险源，尽可能控制和缩小环境影响范围，将突发环境事件危害降低到最小程度。</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（1）由企业生产装置或设备泄漏、火灾或爆炸引发的突发环境事件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企业单位生产装置或设备泄漏、火灾或爆炸引发的突发环境事件，由高新区应急指挥部负责制订现场处置方案，方案应主要包括污染源排查和切断、污染范围及趋势确定、减轻与消除污染等内容。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①污染源排查和切断</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未知排污单位：突发环境事件发生后，应急环境监测组迅速赶往现场，在事故发生地开展应急监测，确定污染因子及污染范围。根据监测结果排查区域及流域内可能导致污染的企业，确定污染源后，要求企业启动企业突发环境事件应急预案，采取相应措施切断污染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对已知排污单位：高新区应急指挥部要求企业启动企业突发环境事件应急预案，采取相应措施切断污染源。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②确定污染范围及趋势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环境监测负责协助监测单位应做好事件现场的应急监测，并定期将监测结果上报至高新区突发环境应急现场指挥部。周围情形复杂时，及时组织技术专家组开展污染物扩散规律分析，明确污染程度与范围，确定拦截、洗消范围，判断污染物发展趋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针对污染物扩散情况，可采用拦截、稀释、吸附、吸收等措施防止污染物扩散；采用中和、固化、沉淀、降解、清理等措施减轻或消除污染。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（2）由企业在危化品或危废贮存过程中的事故引发的突发环境事件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由企业在危化品或危废贮存过程中的事故引发的突发环境事件，由高新区应急指挥部等部门会同技术专家组制订现场处置方案，方案应主要包括污染源排查和切断、污染范围及趋势确定、减轻与消除污染等内容。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①染源排查和切断</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未知排污单位：突发环境事件发生后，应急环境监测组迅速赶往现场，在事故发生地开展应急监测，确定污染因子及污染范围。根据监测结果排查区域及流域内可能导致污染的企业，确定污染源后，要求企业启动企业突发环境事件应急预案，采取相应措施切断污染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对已知排污单位：高新区应急指挥部要求企业启动企业突发环境事件应急预案，采取相应措施切断污染源。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②确定污染范围及趋势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应急环境监测协助监测部门应做好事件现场的应急监测，并定期将监测结果上报至环境应急现场指挥部。周围情形复杂时，及时组织专家组开展污染物扩散规律分析，明确污染程度与范围，确定拦截、洗消范围， 判断污染物发展趋势。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针对污染物扩散情况，可采用拦截、稀释、吸附、吸收等措施防止污染物扩散；采用中和、固化、沉淀、降解、清理等措施减轻或消除污染。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（3）由企业在危化品或危废运输过程中交通事故次生的突发环境事件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由企业单位在危化品或危废运输过程中交通事故次生的突发环境事件，由高新区应急指挥部等部门会同技术专家组制订现场处置方案，方案应主要包括污染源排查、确定污染范围、减轻与消除污染等内容。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①污染源排查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高新区应急指挥部，应急办公室及应急组织机构成员小组立即进行现场勘察，通过向当事人询问、查看运载记录、或由环境监测组利用应急监测设备等方法迅速判明危险化学品种类、危害程度、扩散方式。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②确定污染范围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事故点地形地貌、气象条件，依据污染扩散模型，确定污染范围和合理警戒区域。在现场勘察的同时，迅速查明事故点周围的敏感目标。以防止污染物进入水体造成次生污染，并为群众转移做好前期准备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紧急救援组</w:t>
      </w:r>
      <w:r>
        <w:rPr>
          <w:rFonts w:hint="eastAsia" w:asciiTheme="minorEastAsia" w:hAnsiTheme="minorEastAsia" w:eastAsiaTheme="minorEastAsia"/>
          <w:color w:val="000000" w:themeColor="text1"/>
          <w14:textFill>
            <w14:solidFill>
              <w14:schemeClr w14:val="tx1"/>
            </w14:solidFill>
          </w14:textFill>
        </w:rPr>
        <w:t>在应急现场指挥部的统一指挥和专家的现场指导下，根据危化品的种类、突发环境事件的类型（泄漏、燃烧、爆炸等），采取相应的应急处置措施。通过对污染物进行分段阻隔、洗消，并采用拦截、稀释、吸附、吸收等措施防止污染物扩散；通过采用中和、固化、沉淀、降解、清理等措施减轻或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突发环境事件发生时，应采取导流等措施，避免对水体造成影响，防止发生二次污染。若危化品已经进入雨水管网，应该立即关闭雨水管网入河阀门，控制提升泵站，防止污水进入地表水。</w:t>
      </w:r>
    </w:p>
    <w:p>
      <w:pPr>
        <w:spacing w:before="0" w:beforeLines="0"/>
        <w:ind w:firstLine="480"/>
        <w:rPr>
          <w:rFonts w:hint="default" w:asciiTheme="minorEastAsia" w:hAnsiTheme="minorEastAsia" w:eastAsiaTheme="minorEastAsia"/>
          <w:color w:val="000000" w:themeColor="text1"/>
          <w:lang w:val="en-US" w:eastAsia="zh-CN"/>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（4）园区管道输送原料发生管道泄漏引发的突发环境事件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w:t>
      </w:r>
      <w:r>
        <w:rPr>
          <w:rFonts w:hint="eastAsia" w:asciiTheme="minorEastAsia" w:hAnsiTheme="minorEastAsia" w:eastAsiaTheme="minorEastAsia"/>
          <w:color w:val="000000" w:themeColor="text1"/>
          <w:lang w:val="en-US" w:eastAsia="zh-CN"/>
          <w14:textFill>
            <w14:solidFill>
              <w14:schemeClr w14:val="tx1"/>
            </w14:solidFill>
          </w14:textFill>
        </w:rPr>
        <w:t>园区管道输送泄漏引发</w:t>
      </w:r>
      <w:r>
        <w:rPr>
          <w:rFonts w:hint="eastAsia" w:asciiTheme="minorEastAsia" w:hAnsiTheme="minorEastAsia" w:eastAsiaTheme="minorEastAsia"/>
          <w:color w:val="000000" w:themeColor="text1"/>
          <w14:textFill>
            <w14:solidFill>
              <w14:schemeClr w14:val="tx1"/>
            </w14:solidFill>
          </w14:textFill>
        </w:rPr>
        <w:t>的突发环境事件，由高新区应急指挥部等部门会同技术专家组制订现场处置方案，方案应主要包括污染源排查、确定污染范围、减轻与消除污染等内容。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①污染源排查</w:t>
      </w:r>
    </w:p>
    <w:p>
      <w:pPr>
        <w:spacing w:before="0" w:beforeLines="0"/>
        <w:ind w:firstLine="480"/>
        <w:rPr>
          <w:rFonts w:hint="eastAsia" w:asciiTheme="minorEastAsia" w:hAnsiTheme="minorEastAsia" w:eastAsiaTheme="minorEastAsia"/>
          <w:color w:val="000000" w:themeColor="text1"/>
          <w:lang w:val="en-US" w:eastAsia="zh-CN"/>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高新区应急指挥部，应急办公室</w:t>
      </w:r>
      <w:r>
        <w:rPr>
          <w:rFonts w:hint="eastAsia" w:asciiTheme="minorEastAsia" w:hAnsiTheme="minorEastAsia" w:eastAsiaTheme="minorEastAsia"/>
          <w:color w:val="000000" w:themeColor="text1"/>
          <w:lang w:val="en-US" w:eastAsia="zh-CN"/>
          <w14:textFill>
            <w14:solidFill>
              <w14:schemeClr w14:val="tx1"/>
            </w14:solidFill>
          </w14:textFill>
        </w:rPr>
        <w:t>得到报告后，立即组织</w:t>
      </w:r>
      <w:r>
        <w:rPr>
          <w:rFonts w:hint="eastAsia" w:asciiTheme="minorEastAsia" w:hAnsiTheme="minorEastAsia" w:eastAsiaTheme="minorEastAsia"/>
          <w:color w:val="000000" w:themeColor="text1"/>
          <w14:textFill>
            <w14:solidFill>
              <w14:schemeClr w14:val="tx1"/>
            </w14:solidFill>
          </w14:textFill>
        </w:rPr>
        <w:t>应急</w:t>
      </w:r>
      <w:r>
        <w:rPr>
          <w:rFonts w:hint="eastAsia" w:asciiTheme="minorEastAsia" w:hAnsiTheme="minorEastAsia" w:eastAsiaTheme="minorEastAsia"/>
          <w:color w:val="000000" w:themeColor="text1"/>
          <w:lang w:val="en-US" w:eastAsia="zh-CN"/>
          <w14:textFill>
            <w14:solidFill>
              <w14:schemeClr w14:val="tx1"/>
            </w14:solidFill>
          </w14:textFill>
        </w:rPr>
        <w:t>救援小组赶赴现场进行</w:t>
      </w:r>
      <w:r>
        <w:rPr>
          <w:rFonts w:hint="eastAsia" w:asciiTheme="minorEastAsia" w:hAnsiTheme="minorEastAsia" w:eastAsiaTheme="minorEastAsia"/>
          <w:color w:val="000000" w:themeColor="text1"/>
          <w14:textFill>
            <w14:solidFill>
              <w14:schemeClr w14:val="tx1"/>
            </w14:solidFill>
          </w14:textFill>
        </w:rPr>
        <w:t>勘察，</w:t>
      </w:r>
      <w:r>
        <w:rPr>
          <w:rFonts w:hint="eastAsia" w:asciiTheme="minorEastAsia" w:hAnsiTheme="minorEastAsia" w:eastAsiaTheme="minorEastAsia"/>
          <w:color w:val="000000" w:themeColor="text1"/>
          <w:lang w:val="en-US" w:eastAsia="zh-CN"/>
          <w14:textFill>
            <w14:solidFill>
              <w14:schemeClr w14:val="tx1"/>
            </w14:solidFill>
          </w14:textFill>
        </w:rPr>
        <w:t>根据管道输送介子的性质产取污染控制措施。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②确定污染范围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事故点地形地貌、气象条件，依据污染扩散模型，确定污染范围和合理警戒区域。在现场勘察的同时，迅速查明事故点周围的敏感目标。以防止污染物进入水体造成次生污染，并为群众转移做好前期准备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紧急救援组</w:t>
      </w:r>
      <w:r>
        <w:rPr>
          <w:rFonts w:hint="eastAsia" w:asciiTheme="minorEastAsia" w:hAnsiTheme="minorEastAsia" w:eastAsiaTheme="minorEastAsia"/>
          <w:color w:val="000000" w:themeColor="text1"/>
          <w14:textFill>
            <w14:solidFill>
              <w14:schemeClr w14:val="tx1"/>
            </w14:solidFill>
          </w14:textFill>
        </w:rPr>
        <w:t>在应急现场指挥部的统一指挥和专家的现场指导下，根据危化品的种类、突发环境事件的类型（泄漏、燃烧、爆炸等），采取相应的应急处置措施。</w:t>
      </w:r>
      <w:r>
        <w:rPr>
          <w:rFonts w:hint="eastAsia" w:asciiTheme="minorEastAsia" w:hAnsiTheme="minorEastAsia" w:eastAsiaTheme="minorEastAsia"/>
          <w:color w:val="000000" w:themeColor="text1"/>
          <w:lang w:val="en-US" w:eastAsia="zh-CN"/>
          <w14:textFill>
            <w14:solidFill>
              <w14:schemeClr w14:val="tx1"/>
            </w14:solidFill>
          </w14:textFill>
        </w:rPr>
        <w:t>通过知工程救援协议单位，调集挖掘机等工程机械采取挖坑、筑堤等方式，对泄漏介子进行围堵、收集，然后用罐车将泄漏介子运到出料、用料单位事故池，或园区事故池进行临时储存。对于已污染的土壤进行收集，运至出料、用料单位危险废物暂存间暂存。</w:t>
      </w:r>
      <w:r>
        <w:rPr>
          <w:rFonts w:hint="eastAsia" w:asciiTheme="minorEastAsia" w:hAnsiTheme="minorEastAsia" w:eastAsiaTheme="minorEastAsia"/>
          <w:color w:val="000000" w:themeColor="text1"/>
          <w14:textFill>
            <w14:solidFill>
              <w14:schemeClr w14:val="tx1"/>
            </w14:solidFill>
          </w14:textFill>
        </w:rPr>
        <w:t>突发环境事件发生时若</w:t>
      </w:r>
      <w:r>
        <w:rPr>
          <w:rFonts w:hint="eastAsia" w:asciiTheme="minorEastAsia" w:hAnsiTheme="minorEastAsia" w:eastAsiaTheme="minorEastAsia"/>
          <w:color w:val="000000" w:themeColor="text1"/>
          <w:lang w:val="en-US" w:eastAsia="zh-CN"/>
          <w14:textFill>
            <w14:solidFill>
              <w14:schemeClr w14:val="tx1"/>
            </w14:solidFill>
          </w14:textFill>
        </w:rPr>
        <w:t>泄漏介子进入</w:t>
      </w:r>
      <w:r>
        <w:rPr>
          <w:rFonts w:hint="eastAsia" w:asciiTheme="minorEastAsia" w:hAnsiTheme="minorEastAsia" w:eastAsiaTheme="minorEastAsia"/>
          <w:color w:val="000000" w:themeColor="text1"/>
          <w14:textFill>
            <w14:solidFill>
              <w14:schemeClr w14:val="tx1"/>
            </w14:solidFill>
          </w14:textFill>
        </w:rPr>
        <w:t>进入雨水管网，应该立即关闭雨水管网入河阀门，控制提升泵站，</w:t>
      </w:r>
      <w:r>
        <w:rPr>
          <w:rFonts w:hint="eastAsia" w:asciiTheme="minorEastAsia" w:hAnsiTheme="minorEastAsia" w:eastAsiaTheme="minorEastAsia"/>
          <w:color w:val="000000" w:themeColor="text1"/>
          <w:lang w:val="en-US" w:eastAsia="zh-CN"/>
          <w14:textFill>
            <w14:solidFill>
              <w14:schemeClr w14:val="tx1"/>
            </w14:solidFill>
          </w14:textFill>
        </w:rPr>
        <w:t>将此部分事故废水进入园区事故池，</w:t>
      </w:r>
      <w:r>
        <w:rPr>
          <w:rFonts w:hint="eastAsia" w:asciiTheme="minorEastAsia" w:hAnsiTheme="minorEastAsia" w:eastAsiaTheme="minorEastAsia"/>
          <w:color w:val="000000" w:themeColor="text1"/>
          <w14:textFill>
            <w14:solidFill>
              <w14:schemeClr w14:val="tx1"/>
            </w14:solidFill>
          </w14:textFill>
        </w:rPr>
        <w:t>防止污</w:t>
      </w:r>
      <w:r>
        <w:rPr>
          <w:rFonts w:hint="eastAsia" w:asciiTheme="minorEastAsia" w:hAnsiTheme="minorEastAsia" w:eastAsiaTheme="minorEastAsia"/>
          <w:color w:val="000000" w:themeColor="text1"/>
          <w:lang w:val="en-US" w:eastAsia="zh-CN"/>
          <w14:textFill>
            <w14:solidFill>
              <w14:schemeClr w14:val="tx1"/>
            </w14:solidFill>
          </w14:textFill>
        </w:rPr>
        <w:t>染</w:t>
      </w:r>
      <w:r>
        <w:rPr>
          <w:rFonts w:hint="eastAsia" w:asciiTheme="minorEastAsia" w:hAnsiTheme="minorEastAsia" w:eastAsiaTheme="minorEastAsia"/>
          <w:color w:val="000000" w:themeColor="text1"/>
          <w14:textFill>
            <w14:solidFill>
              <w14:schemeClr w14:val="tx1"/>
            </w14:solidFill>
          </w14:textFill>
        </w:rPr>
        <w:t>地表水。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lang w:val="en-US" w:eastAsia="zh-CN"/>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）由园区引发的周边水体突发环境事件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园区引发的周边水体突发环境事件，由高新区环境应急指挥部上报抚顺市政府。高新区环境应急指挥部开展救援工作由高新区管委会水利、生态环境、住建等部门共同负责制订现场处置方案，方案应主要包括控制污染源、确定污染范围、减轻与消除污染。高新区环境应急指挥部待上级应急管理部门到位后，立即移交指挥权，并协助上级应急指管理部门做好应急救援工作</w:t>
      </w:r>
    </w:p>
    <w:p>
      <w:pPr>
        <w:pStyle w:val="79"/>
        <w:numPr>
          <w:ilvl w:val="0"/>
          <w:numId w:val="8"/>
        </w:numPr>
        <w:spacing w:before="0" w:beforeLines="0"/>
        <w:ind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制污染源</w:t>
      </w:r>
    </w:p>
    <w:p>
      <w:pPr>
        <w:spacing w:before="0" w:beforeLines="0"/>
        <w:ind w:firstLine="480"/>
        <w:rPr>
          <w:rFonts w:hint="default" w:asciiTheme="minorEastAsia" w:hAnsiTheme="minorEastAsia" w:eastAsiaTheme="minorEastAsia"/>
          <w:color w:val="000000" w:themeColor="text1"/>
          <w:lang w:val="en-US" w:eastAsia="zh-CN"/>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紧急救援组采用沙袋围堵，工程机械车辆施工做业等方式，将事故废水引入污水排水管网，通过污水提升泵，将污水排入事故池。</w:t>
      </w:r>
      <w:r>
        <w:rPr>
          <w:rFonts w:hint="eastAsia" w:asciiTheme="minorEastAsia" w:hAnsiTheme="minorEastAsia" w:eastAsiaTheme="minorEastAsia"/>
          <w:color w:val="000000" w:themeColor="text1"/>
          <w:lang w:val="en-US" w:eastAsia="zh-CN"/>
          <w14:textFill>
            <w14:solidFill>
              <w14:schemeClr w14:val="tx1"/>
            </w14:solidFill>
          </w14:textFill>
        </w:rPr>
        <w:t>或采用挖坑、筑坝等方式收集事故废水，然后用泵将事故废水泵入罐车送至园区事故池内暂存。</w:t>
      </w:r>
    </w:p>
    <w:p>
      <w:pPr>
        <w:pStyle w:val="79"/>
        <w:numPr>
          <w:ilvl w:val="0"/>
          <w:numId w:val="8"/>
        </w:numPr>
        <w:spacing w:before="0" w:beforeLines="0"/>
        <w:ind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定污染范围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环境监测组协助监测单位，会同应急专家，做好事件现场的应急监测、扩散规律分析，明确污染边界，确定拦截范围。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根据污染物的特征，通过对污染物进行分段阻隔，并采用拦截、吸附（如活性炭吸附）、吸收等措施防止污染物扩散；通过采用中和、固化、沉淀、降解等措施减轻或消除污染。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（5）由于突发事故引发的次生/伴生突发环境事件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由于突发事故引发的次伴生突发环境事件，由高新区应急指挥部办公室会同技术专家组制订现场处置方案，方案应主要包括控制污染源、确定污染范围、减轻与消除污染等内容。</w:t>
      </w:r>
    </w:p>
    <w:p>
      <w:pPr>
        <w:pStyle w:val="79"/>
        <w:numPr>
          <w:ilvl w:val="0"/>
          <w:numId w:val="9"/>
        </w:numPr>
        <w:spacing w:before="0" w:beforeLines="0"/>
        <w:ind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控制污染源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突发环境事件发生后，高新区应急指挥部及应急组织救援小组迅速赶往现场，并通过采取对相关单位有关人员（如管理、技术人员、操作工人等）调查询问，或利用快速监测设备等方式确定污染源，要求企业启动企业突发环境事件应急预案，采取相应措施切断污染源。</w:t>
      </w:r>
    </w:p>
    <w:p>
      <w:pPr>
        <w:pStyle w:val="79"/>
        <w:numPr>
          <w:ilvl w:val="0"/>
          <w:numId w:val="9"/>
        </w:numPr>
        <w:spacing w:before="0" w:beforeLines="0"/>
        <w:ind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定污染范围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环境监测组协助监测单位做好事件现场的应急监测、扩散规律分析，明确污染边界，确定拦截、洗消范围。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③减轻与消除污染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根据污染物的特征，通过对污染物进行分段阻隔、洗消，并采 用拦截、稀释、吸附、吸收等措施防止污染物扩散；通过采用中和、固化、沉淀、降解、清理等措施减轻或消除污染。</w:t>
      </w:r>
    </w:p>
    <w:p>
      <w:pPr>
        <w:pStyle w:val="5"/>
        <w:spacing w:before="163"/>
        <w:ind w:left="281" w:hanging="281"/>
        <w:rPr>
          <w:color w:val="000000" w:themeColor="text1"/>
          <w14:textFill>
            <w14:solidFill>
              <w14:schemeClr w14:val="tx1"/>
            </w14:solidFill>
          </w14:textFill>
        </w:rPr>
      </w:pPr>
      <w:bookmarkStart w:id="76" w:name="_Toc116110924"/>
      <w:r>
        <w:rPr>
          <w:rFonts w:hint="eastAsia"/>
          <w:color w:val="000000" w:themeColor="text1"/>
          <w14:textFill>
            <w14:solidFill>
              <w14:schemeClr w14:val="tx1"/>
            </w14:solidFill>
          </w14:textFill>
        </w:rPr>
        <w:t>5.2.3园区外部响应</w:t>
      </w:r>
      <w:bookmarkEnd w:id="76"/>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当高新区应急救援指挥部确定凭借自身力量难以有效控制风险事故时，应立即向东洲区政府、抚顺市政府请求支援，在上级应急救援管理部门到来之前做好先期应急救援工作。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（1）上级救援指挥部总指挥（或指派专职人员负责现场指挥）到达现场后，启动上级应急预案，开展救援工作的同时，可向高新区突发环境事件应急指挥部下达相关救援指令；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（2）在外部救援力量到来时，现场指挥部负责人应向有关人员详细介绍事故现场所贮存和使用的化学危险物质的详细情况，并说明和它们有关的其它危险情况。</w:t>
      </w:r>
    </w:p>
    <w:p>
      <w:pPr>
        <w:pStyle w:val="4"/>
        <w:spacing w:before="156"/>
        <w:ind w:left="301" w:hanging="301"/>
        <w:rPr>
          <w:color w:val="000000" w:themeColor="text1"/>
          <w14:textFill>
            <w14:solidFill>
              <w14:schemeClr w14:val="tx1"/>
            </w14:solidFill>
          </w14:textFill>
        </w:rPr>
      </w:pPr>
      <w:bookmarkStart w:id="77" w:name="_Toc116110925"/>
      <w:r>
        <w:rPr>
          <w:rFonts w:hint="eastAsia"/>
          <w:color w:val="000000" w:themeColor="text1"/>
          <w14:textFill>
            <w14:solidFill>
              <w14:schemeClr w14:val="tx1"/>
            </w14:solidFill>
          </w14:textFill>
        </w:rPr>
        <w:t>5.3现场处理</w:t>
      </w:r>
      <w:bookmarkEnd w:id="77"/>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突发环境事件的园区企业，应当立即启动企业内部环境应急预案，采取有效措施，切断或控制污染源，阻止污染物泄放，防止污染扩散。园区企业还应及时主动提供与应急救援有关的基础资料和必要的技术支持，相关行政监管部门提供事发前的有关监管检查资料，供实施和调整应急救援和处置方案时参考。</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应急处置过程中需要紧急调用物资、设备、人员和占用场地的，有关单位和个人应当支持、配合并提供一切便利条件。参加应急处置的工作人员，应当采取必要的安全防护措施，并在专业人员的指导下进行工作。</w:t>
      </w:r>
    </w:p>
    <w:p>
      <w:pPr>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突发环境事件类型及响应级别和响应措施见表5.3-1。</w:t>
      </w:r>
    </w:p>
    <w:p>
      <w:pPr>
        <w:spacing w:before="163"/>
        <w:ind w:firstLine="367" w:firstLineChars="175"/>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表5.3-1                    突发环境事件应急响应</w:t>
      </w:r>
    </w:p>
    <w:tbl>
      <w:tblPr>
        <w:tblStyle w:val="54"/>
        <w:tblW w:w="505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27"/>
        <w:gridCol w:w="1716"/>
        <w:gridCol w:w="3260"/>
        <w:gridCol w:w="24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事件类型</w:t>
            </w: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响应级别</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响应措施</w:t>
            </w:r>
          </w:p>
        </w:tc>
        <w:tc>
          <w:tcPr>
            <w:tcW w:w="1431"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restar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火灾</w:t>
            </w: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一般（Ⅲ级）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启动发生事故的企业突发环境事件应急预案，同时启动本预案</w:t>
            </w:r>
          </w:p>
        </w:tc>
        <w:tc>
          <w:tcPr>
            <w:tcW w:w="1431" w:type="pct"/>
            <w:vMerge w:val="restart"/>
            <w:vAlign w:val="center"/>
          </w:tcPr>
          <w:p>
            <w:pPr>
              <w:pStyle w:val="78"/>
              <w:spacing w:before="0" w:beforeLines="0" w:line="240" w:lineRule="exact"/>
              <w:ind w:firstLine="0" w:firstLineChars="0"/>
              <w:jc w:val="left"/>
              <w:rPr>
                <w:rFonts w:hint="eastAsia"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园区某企业装置生产区、储罐区或地下管道发生火灾爆炸事故</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p>
            <w:pPr>
              <w:pStyle w:val="78"/>
              <w:spacing w:before="0" w:beforeLines="0" w:line="240" w:lineRule="exact"/>
              <w:ind w:firstLine="0" w:firstLineChars="0"/>
              <w:jc w:val="left"/>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园区物料输送管道发生泄漏进而发生火灾事故。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较大（Ⅱ级）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启动本预案</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重大（Ⅰ级）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pacing w:val="-2"/>
                <w:sz w:val="21"/>
                <w:szCs w:val="21"/>
                <w14:textFill>
                  <w14:solidFill>
                    <w14:schemeClr w14:val="tx1"/>
                  </w14:solidFill>
                </w14:textFill>
              </w:rPr>
              <w:t>启动本预案，上报，开展前期处置。</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restar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泄漏</w:t>
            </w: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一般（Ⅲ级）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启动发生事故的企业突发环境事件应急预案，同时启动本预案</w:t>
            </w:r>
          </w:p>
        </w:tc>
        <w:tc>
          <w:tcPr>
            <w:tcW w:w="1431" w:type="pct"/>
            <w:vMerge w:val="restart"/>
            <w:vAlign w:val="center"/>
          </w:tcPr>
          <w:p>
            <w:pPr>
              <w:pStyle w:val="78"/>
              <w:spacing w:before="0" w:beforeLines="0" w:line="240" w:lineRule="exact"/>
              <w:ind w:firstLine="0" w:firstLineChars="0"/>
              <w:jc w:val="left"/>
              <w:rPr>
                <w:rFonts w:hint="eastAsia"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园区某企业装置生产区、储罐区或地下管道发生泄漏事故</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；园区物料输送管道发生泄漏事故。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较大（Ⅱ级）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同时启动本预案</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重大（Ⅰ级）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pacing w:val="-2"/>
                <w:sz w:val="21"/>
                <w:szCs w:val="21"/>
                <w14:textFill>
                  <w14:solidFill>
                    <w14:schemeClr w14:val="tx1"/>
                  </w14:solidFill>
                </w14:textFill>
              </w:rPr>
              <w:t>启动本预案，上报，开展前期处置。</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restar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环境风险</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设施失灵</w:t>
            </w: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一般（Ⅲ级）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启动发生事故的企业突发环境事件应急预案，同时启动本预案</w:t>
            </w:r>
          </w:p>
        </w:tc>
        <w:tc>
          <w:tcPr>
            <w:tcW w:w="1431" w:type="pct"/>
            <w:vMerge w:val="restart"/>
            <w:vAlign w:val="center"/>
          </w:tcPr>
          <w:p>
            <w:pPr>
              <w:pStyle w:val="78"/>
              <w:spacing w:before="0" w:beforeLines="0" w:line="240" w:lineRule="exact"/>
              <w:ind w:firstLine="0" w:firstLineChars="0"/>
              <w:jc w:val="left"/>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园区某企业装置区或者地下管线火灾爆炸事故导致事故废水溢流进入厂区雨水管网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较大（Ⅱ级）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同时启动本预案</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重大（Ⅰ级）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pacing w:val="-2"/>
                <w:sz w:val="21"/>
                <w:szCs w:val="21"/>
                <w14:textFill>
                  <w14:solidFill>
                    <w14:schemeClr w14:val="tx1"/>
                  </w14:solidFill>
                </w14:textFill>
              </w:rPr>
              <w:t>启动本预案，上报，开展前期处置。</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restar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各种自然灾害、极端天气或不利气象条件</w:t>
            </w: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一般（Ⅲ级）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启动发生事故的企业突发环境事件应急预案，同时启动本预案</w:t>
            </w:r>
          </w:p>
        </w:tc>
        <w:tc>
          <w:tcPr>
            <w:tcW w:w="1431" w:type="pct"/>
            <w:vMerge w:val="restar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极端暴雨、重污染天气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较大（Ⅱ级）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同时启动本预案</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exact"/>
          <w:jc w:val="center"/>
        </w:trPr>
        <w:tc>
          <w:tcPr>
            <w:tcW w:w="61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c>
          <w:tcPr>
            <w:tcW w:w="1020"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重大（Ⅰ级）</w:t>
            </w:r>
          </w:p>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突发环境事件</w:t>
            </w:r>
          </w:p>
        </w:tc>
        <w:tc>
          <w:tcPr>
            <w:tcW w:w="1938" w:type="pct"/>
            <w:vAlign w:val="center"/>
          </w:tcPr>
          <w:p>
            <w:pPr>
              <w:pStyle w:val="78"/>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pacing w:val="-2"/>
                <w:sz w:val="21"/>
                <w:szCs w:val="21"/>
                <w14:textFill>
                  <w14:solidFill>
                    <w14:schemeClr w14:val="tx1"/>
                  </w14:solidFill>
                </w14:textFill>
              </w:rPr>
              <w:t>启动本预案，上报，开展前期处置。</w:t>
            </w:r>
          </w:p>
        </w:tc>
        <w:tc>
          <w:tcPr>
            <w:tcW w:w="1431" w:type="pct"/>
            <w:vMerge w:val="continue"/>
            <w:tcBorders>
              <w:top w:val="nil"/>
            </w:tcBorders>
            <w:vAlign w:val="center"/>
          </w:tcPr>
          <w:p>
            <w:pPr>
              <w:spacing w:before="0" w:beforeLines="0" w:line="240" w:lineRule="exact"/>
              <w:ind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p>
        </w:tc>
      </w:tr>
    </w:tbl>
    <w:p>
      <w:pPr>
        <w:pStyle w:val="5"/>
        <w:spacing w:before="0" w:beforeLines="0"/>
        <w:ind w:left="281" w:hanging="281"/>
        <w:rPr>
          <w:color w:val="000000" w:themeColor="text1"/>
          <w14:textFill>
            <w14:solidFill>
              <w14:schemeClr w14:val="tx1"/>
            </w14:solidFill>
          </w14:textFill>
        </w:rPr>
      </w:pPr>
      <w:bookmarkStart w:id="78" w:name="_Toc116110926"/>
      <w:r>
        <w:rPr>
          <w:rFonts w:hint="eastAsia"/>
          <w:color w:val="000000" w:themeColor="text1"/>
          <w14:textFill>
            <w14:solidFill>
              <w14:schemeClr w14:val="tx1"/>
            </w14:solidFill>
          </w14:textFill>
        </w:rPr>
        <w:t>5.3.1现场应急救援的优先原则</w:t>
      </w:r>
      <w:bookmarkEnd w:id="78"/>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（1）保障所有应急人员和人民群众的生命安全；</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（2）稳定和控制事件状态，尽量减轻突发环境事件造成的危害；</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（3）保护国家基础设施；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（4）保护公私财产和环境；</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（5）减轻环境、社会影响和经济损失。</w:t>
      </w:r>
    </w:p>
    <w:p>
      <w:pPr>
        <w:pStyle w:val="5"/>
        <w:spacing w:before="0" w:beforeLines="0"/>
        <w:ind w:left="281" w:hanging="281"/>
        <w:rPr>
          <w:color w:val="000000" w:themeColor="text1"/>
          <w14:textFill>
            <w14:solidFill>
              <w14:schemeClr w14:val="tx1"/>
            </w14:solidFill>
          </w14:textFill>
        </w:rPr>
      </w:pPr>
      <w:bookmarkStart w:id="79" w:name="_Toc116110927"/>
      <w:r>
        <w:rPr>
          <w:rFonts w:hint="eastAsia"/>
          <w:color w:val="000000" w:themeColor="text1"/>
          <w14:textFill>
            <w14:solidFill>
              <w14:schemeClr w14:val="tx1"/>
            </w14:solidFill>
          </w14:textFill>
        </w:rPr>
        <w:t>5.3.2</w:t>
      </w:r>
      <w:r>
        <w:rPr>
          <w:color w:val="000000" w:themeColor="text1"/>
          <w14:textFill>
            <w14:solidFill>
              <w14:schemeClr w14:val="tx1"/>
            </w14:solidFill>
          </w14:textFill>
        </w:rPr>
        <w:t>水环境污染事件现场处置</w:t>
      </w:r>
      <w:bookmarkEnd w:id="7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企业一旦发生火灾事件，在扑救的过程中产生的事故废水（消防废水+泄漏物料）；企业生产设备和物料存储发生事件时，产生的事故废水（含有物料的）。以上废水如未能及时收集和处理，流入地表水将造成地表水环境污染。</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（1）影响范围</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事故发生企业周边园区路面、地势低洼区以及周围用地，东洲河、兰山河、营城子河和海新河，以及浑河抚顺市区段。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（2）信息传递及响应</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事故企业应及时向高新区应急指挥部报告事件信息；</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高新区应急指挥部接到信息后立即赶现场，迅速成立现场应急指挥部；</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3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各专业救援抢险队迅速赶至事件现场，根据指挥部的指令执行应急救援的职责。现场抢险人员须正确佩戴防护装备。</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（3）现场处置</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物料泄漏及事故废水应急措施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物料（包括危险废物）泄漏和消防水、事故废水携带物料引发的事件。当发生一般性泄漏事故，企业内部能够进行有效控制，将污水控制在企业内部；当发生火灾爆炸事故，企业事故废水流入园区内时，立即启动二、三级防控系统，将事故污水引入园区事故池，避免事故污水冲击东泽污水处理</w:t>
      </w:r>
      <w:r>
        <w:rPr>
          <w:rFonts w:hint="eastAsia"/>
          <w:color w:val="000000" w:themeColor="text1"/>
          <w:lang w:val="en-US" w:eastAsia="zh-CN"/>
          <w14:textFill>
            <w14:solidFill>
              <w14:schemeClr w14:val="tx1"/>
            </w14:solidFill>
          </w14:textFill>
        </w:rPr>
        <w:t>厂、青草沟污水处理厂</w:t>
      </w:r>
      <w:r>
        <w:rPr>
          <w:rFonts w:hint="eastAsia"/>
          <w:color w:val="000000" w:themeColor="text1"/>
          <w14:textFill>
            <w14:solidFill>
              <w14:schemeClr w14:val="tx1"/>
            </w14:solidFill>
          </w14:textFill>
        </w:rPr>
        <w:t>或流入地表水。</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A、紧急救援组指导事故企业进行物料切断或转移，将装置围堰、罐区围堤内的物料和污染消防水切入企业事故池；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B、紧急救援组组织事故企业及协议救助单位采用工程措施封堵周边雨水排放系统，并引导污水进入污水排放系统，并与东泽污水处理厂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清草沟污水处理厂</w:t>
      </w:r>
      <w:r>
        <w:rPr>
          <w:rFonts w:hint="eastAsia"/>
          <w:color w:val="000000" w:themeColor="text1"/>
          <w14:textFill>
            <w14:solidFill>
              <w14:schemeClr w14:val="tx1"/>
            </w14:solidFill>
          </w14:textFill>
        </w:rPr>
        <w:t>联系，将事故污水排入园区事故池。</w:t>
      </w:r>
      <w:r>
        <w:rPr>
          <w:rFonts w:hint="eastAsia" w:ascii="宋体" w:hAnsi="宋体"/>
        </w:rPr>
        <w:t>并做好防止发生火灾爆炸事件的措施；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紧急救援组根据河流水量及地形、地势等，采取工程措施对事故废水进行截流，调集协议救助单位罐车等运输车辆将事故废水转运至园区事故池。如事故废水已经进入地表水，则在河道中采用筑堤、引流等工程措施，同时采用活性炭吸附、吸油毡吸油和拦油网隔油等治理措施，对已污染的河水进行收集和处理。将收集后的污染河水利用罐车或将污染河水泵入污水管网，进入园区事故池。</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D、如果事故废水进入地表水，高新区应急指挥部立即上报东洲区、抚顺市政府主管部门，启动上级应急预案。在上级应急指挥部的统一指挥下，采取相应的处置措施；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E、环境监测组组织协议应急监测单位，配合辽宁省抚顺生态环境监测中心做好应急监测工作，为现场应急指挥提供环境信息。</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F、水中毒事件预防及人员救治</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按照应急预案报告程序，立即向东洲区、抚顺市政府报告，并通知周边区域单位，做好水体污染告知工作，避免因取用受污染的河水造成人员中毒，对水体中毒人员要及时到附近医院进行救治。对于泄漏到水中的有毒物质，重点是做好告知、沿途重点位置标示、警告工作，避免人畜误饮造成中毒。</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雨水排放控制措施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A、要求企业和园区雨水排放阀门</w:t>
      </w:r>
      <w:r>
        <w:rPr>
          <w:rFonts w:hint="eastAsia"/>
          <w:color w:val="000000" w:themeColor="text1"/>
          <w:lang w:val="en-US" w:eastAsia="zh-CN"/>
          <w14:textFill>
            <w14:solidFill>
              <w14:schemeClr w14:val="tx1"/>
            </w14:solidFill>
          </w14:textFill>
        </w:rPr>
        <w:t>处于</w:t>
      </w:r>
      <w:r>
        <w:rPr>
          <w:rFonts w:hint="eastAsia"/>
          <w:color w:val="000000" w:themeColor="text1"/>
          <w14:textFill>
            <w14:solidFill>
              <w14:schemeClr w14:val="tx1"/>
            </w14:solidFill>
          </w14:textFill>
        </w:rPr>
        <w:t xml:space="preserve">关闭状态，不准随意开启；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B、下雨时，企业初期雨水继续排入生产下水系统，15分钟后切换雨污阀门，将清净雨水引入雨水系统；园区雨水收集池自动监测数据达标后方可排入地表水，初期雨水排入污水管网，进入污水处理厂进行处理。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3 \* GB3 \* MERGEFORMAT </w:instrText>
      </w:r>
      <w:r>
        <w:rPr>
          <w:rFonts w:hint="eastAsia"/>
          <w:color w:val="000000" w:themeColor="text1"/>
          <w14:textFill>
            <w14:solidFill>
              <w14:schemeClr w14:val="tx1"/>
            </w14:solidFill>
          </w14:textFill>
        </w:rPr>
        <w:fldChar w:fldCharType="separate"/>
      </w:r>
      <w:r>
        <w:t>③</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自然灾害应急措施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A、</w:t>
      </w:r>
      <w:r>
        <w:rPr>
          <w:rFonts w:hint="eastAsia" w:asciiTheme="minorEastAsia" w:hAnsiTheme="minorEastAsia" w:eastAsiaTheme="minorEastAsia"/>
          <w:color w:val="000000" w:themeColor="text1"/>
          <w14:textFill>
            <w14:solidFill>
              <w14:schemeClr w14:val="tx1"/>
            </w14:solidFill>
          </w14:textFill>
        </w:rPr>
        <w:t>高新区应急办公室和高新区各责任部门实行应急执班制度；</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B、</w:t>
      </w:r>
      <w:r>
        <w:rPr>
          <w:rFonts w:hint="eastAsia" w:asciiTheme="minorEastAsia" w:hAnsiTheme="minorEastAsia" w:eastAsiaTheme="minorEastAsia"/>
          <w:color w:val="000000" w:themeColor="text1"/>
          <w14:textFill>
            <w14:solidFill>
              <w14:schemeClr w14:val="tx1"/>
            </w14:solidFill>
          </w14:textFill>
        </w:rPr>
        <w:t>向园区企业发布预警提示。园区企业做好本企业防汛工程，密切监控装置区、罐区和厂区集水状况，并将情况汇总上报高新区应急办公室。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C、</w:t>
      </w:r>
      <w:r>
        <w:rPr>
          <w:rFonts w:hint="eastAsia" w:asciiTheme="minorEastAsia" w:hAnsiTheme="minorEastAsia" w:eastAsiaTheme="minorEastAsia"/>
          <w:color w:val="000000" w:themeColor="text1"/>
          <w14:textFill>
            <w14:solidFill>
              <w14:schemeClr w14:val="tx1"/>
            </w14:solidFill>
          </w14:textFill>
        </w:rPr>
        <w:t>高新区执班人员密切监视东洲河、兰山河水位变化，判断河水是否会发生漫滩等情况发生，并向高新区应急指挥部汇报；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D、</w:t>
      </w:r>
      <w:r>
        <w:rPr>
          <w:rFonts w:hint="eastAsia" w:asciiTheme="minorEastAsia" w:hAnsiTheme="minorEastAsia" w:eastAsiaTheme="minorEastAsia"/>
          <w:color w:val="000000" w:themeColor="text1"/>
          <w14:textFill>
            <w14:solidFill>
              <w14:schemeClr w14:val="tx1"/>
            </w14:solidFill>
          </w14:textFill>
        </w:rPr>
        <w:t>根据现场情况，高新区应急指挥部调集工程机械、准备沙袋等封堵物资，做好应急准备。避免因洪水等自然灾害引发环境事件对地表水造成污染。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fldChar w:fldCharType="begin"/>
      </w:r>
      <w:r>
        <w:rPr>
          <w:rFonts w:hint="eastAsia" w:asciiTheme="minorEastAsia" w:hAnsiTheme="minorEastAsia" w:eastAsiaTheme="minorEastAsia"/>
          <w:color w:val="000000" w:themeColor="text1"/>
          <w14:textFill>
            <w14:solidFill>
              <w14:schemeClr w14:val="tx1"/>
            </w14:solidFill>
          </w14:textFill>
        </w:rPr>
        <w:instrText xml:space="preserve"> = 4 \* GB3 \* MERGEFORMAT </w:instrText>
      </w:r>
      <w:r>
        <w:rPr>
          <w:rFonts w:hint="eastAsia" w:asciiTheme="minorEastAsia" w:hAnsiTheme="minorEastAsia" w:eastAsiaTheme="minorEastAsia"/>
          <w:color w:val="000000" w:themeColor="text1"/>
          <w14:textFill>
            <w14:solidFill>
              <w14:schemeClr w14:val="tx1"/>
            </w14:solidFill>
          </w14:textFill>
        </w:rPr>
        <w:fldChar w:fldCharType="separate"/>
      </w:r>
      <w:r>
        <w:t>④</w:t>
      </w:r>
      <w:r>
        <w:rPr>
          <w:rFonts w:hint="eastAsia"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污水处理场异常水质超标控制措施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当发生高浓度废水冲击东泽污水处理厂工艺系统，造成出水超标时，立即启动《抚顺高新东泽污水处理厂突发环境事件应急预案》及《抚顺高新东泽污水处理厂突发环境事件园区污水应急处置预案》。充分利用园区企业事故池和园区事故池有效收集企业生产排水；园区各企业采取工艺措施停止生产尽可能减少</w:t>
      </w:r>
      <w:r>
        <w:rPr>
          <w:rFonts w:hint="eastAsia" w:asciiTheme="minorEastAsia" w:hAnsiTheme="minorEastAsia" w:eastAsiaTheme="minorEastAsia"/>
          <w:color w:val="000000" w:themeColor="text1"/>
          <w:lang w:val="en-US" w:eastAsia="zh-CN"/>
          <w14:textFill>
            <w14:solidFill>
              <w14:schemeClr w14:val="tx1"/>
            </w14:solidFill>
          </w14:textFill>
        </w:rPr>
        <w:t>或</w:t>
      </w:r>
      <w:r>
        <w:rPr>
          <w:rFonts w:hint="eastAsia" w:asciiTheme="minorEastAsia" w:hAnsiTheme="minorEastAsia" w:eastAsiaTheme="minorEastAsia"/>
          <w:color w:val="000000" w:themeColor="text1"/>
          <w14:textFill>
            <w14:solidFill>
              <w14:schemeClr w14:val="tx1"/>
            </w14:solidFill>
          </w14:textFill>
        </w:rPr>
        <w:t>不向园区</w:t>
      </w:r>
      <w:r>
        <w:rPr>
          <w:rFonts w:hint="eastAsia" w:asciiTheme="minorEastAsia" w:hAnsiTheme="minorEastAsia" w:eastAsiaTheme="minorEastAsia"/>
          <w:color w:val="000000" w:themeColor="text1"/>
          <w:lang w:val="en-US" w:eastAsia="zh-CN"/>
          <w14:textFill>
            <w14:solidFill>
              <w14:schemeClr w14:val="tx1"/>
            </w14:solidFill>
          </w14:textFill>
        </w:rPr>
        <w:t>污水处理厂</w:t>
      </w:r>
      <w:r>
        <w:rPr>
          <w:rFonts w:hint="eastAsia" w:asciiTheme="minorEastAsia" w:hAnsiTheme="minorEastAsia" w:eastAsiaTheme="minorEastAsia"/>
          <w:color w:val="000000" w:themeColor="text1"/>
          <w14:textFill>
            <w14:solidFill>
              <w14:schemeClr w14:val="tx1"/>
            </w14:solidFill>
          </w14:textFill>
        </w:rPr>
        <w:t>排放工艺废水。</w:t>
      </w:r>
    </w:p>
    <w:p>
      <w:pPr>
        <w:pStyle w:val="5"/>
        <w:spacing w:before="0" w:beforeLines="0"/>
        <w:ind w:left="281" w:hanging="281"/>
        <w:rPr>
          <w:color w:val="000000" w:themeColor="text1"/>
          <w14:textFill>
            <w14:solidFill>
              <w14:schemeClr w14:val="tx1"/>
            </w14:solidFill>
          </w14:textFill>
        </w:rPr>
      </w:pPr>
      <w:bookmarkStart w:id="80" w:name="_Toc116110928"/>
      <w:r>
        <w:rPr>
          <w:rFonts w:hint="eastAsia"/>
          <w:color w:val="000000" w:themeColor="text1"/>
          <w14:textFill>
            <w14:solidFill>
              <w14:schemeClr w14:val="tx1"/>
            </w14:solidFill>
          </w14:textFill>
        </w:rPr>
        <w:t>5.3.3有毒气体扩散事件现场处置</w:t>
      </w:r>
      <w:bookmarkEnd w:id="80"/>
    </w:p>
    <w:p>
      <w:pPr>
        <w:spacing w:before="0" w:beforeLines="0"/>
        <w:ind w:firstLine="4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园区化工企业内储存原、辅材料及产品的生产装置和储罐发生泄漏或火灾、爆炸事故时，释放和产生的有毒气体对区域环境空气质量造成影响。</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（1）影响范围</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园区内及周边大气环境</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（2）信息专递及响应</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事故企业应及时向高新区应急指挥部报告事件信息；</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高新区应急指挥部接到信息后立即赶现场，迅速成立现场应急指挥部；</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3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各专业救援抢险队迅速赶至事件现场，根据指挥部的指令执行应急救援的职责。现场抢险人员须正确佩戴防护装备。根据现场情况采取应对措施，将损失量降为最小。</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（3）现场处置</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紧急救援组按照应急处置方案配戴防护用具在做好自身防护的情况下，指导事故企业进行物料切断、转移和收集，根据泄露风险物质理化性质，采用沙土、泡沫、雾状水覆盖待措施，减少向</w:t>
      </w:r>
      <w:r>
        <w:rPr>
          <w:rFonts w:hint="eastAsia"/>
          <w:color w:val="000000" w:themeColor="text1"/>
          <w:lang w:val="en-US" w:eastAsia="zh-CN"/>
          <w14:textFill>
            <w14:solidFill>
              <w14:schemeClr w14:val="tx1"/>
            </w14:solidFill>
          </w14:textFill>
        </w:rPr>
        <w:t>环境</w:t>
      </w:r>
      <w:r>
        <w:rPr>
          <w:rFonts w:hint="eastAsia"/>
          <w:color w:val="000000" w:themeColor="text1"/>
          <w14:textFill>
            <w14:solidFill>
              <w14:schemeClr w14:val="tx1"/>
            </w14:solidFill>
          </w14:textFill>
        </w:rPr>
        <w:t>挥发有毒气体。根据现场洗消废水水质情况</w:t>
      </w:r>
      <w:r>
        <w:rPr>
          <w:rFonts w:hint="eastAsia"/>
          <w:color w:val="000000" w:themeColor="text1"/>
          <w:lang w:val="en-US" w:eastAsia="zh-CN"/>
          <w14:textFill>
            <w14:solidFill>
              <w14:schemeClr w14:val="tx1"/>
            </w14:solidFill>
          </w14:textFill>
        </w:rPr>
        <w:t>确定是</w:t>
      </w:r>
      <w:r>
        <w:rPr>
          <w:rFonts w:hint="eastAsia"/>
          <w:color w:val="000000" w:themeColor="text1"/>
          <w14:textFill>
            <w14:solidFill>
              <w14:schemeClr w14:val="tx1"/>
            </w14:solidFill>
          </w14:textFill>
        </w:rPr>
        <w:t>排入事故池或</w:t>
      </w:r>
      <w:r>
        <w:rPr>
          <w:rFonts w:hint="eastAsia"/>
          <w:color w:val="000000" w:themeColor="text1"/>
          <w:lang w:val="en-US" w:eastAsia="zh-CN"/>
          <w14:textFill>
            <w14:solidFill>
              <w14:schemeClr w14:val="tx1"/>
            </w14:solidFill>
          </w14:textFill>
        </w:rPr>
        <w:t>排入</w:t>
      </w:r>
      <w:r>
        <w:rPr>
          <w:rFonts w:hint="eastAsia"/>
          <w:color w:val="000000" w:themeColor="text1"/>
          <w14:textFill>
            <w14:solidFill>
              <w14:schemeClr w14:val="tx1"/>
            </w14:solidFill>
          </w14:textFill>
        </w:rPr>
        <w:t>东泽污水处理厂进行处理；</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疏散引导组设定危险区布置警戒带，疏散区内人员，防止无关人员进入；</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3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物质保障组及时将防毒面具、呼吸气、防护服等防护用具送至救援现场，为应急救援提供物资保障；</w:t>
      </w:r>
    </w:p>
    <w:p>
      <w:pPr>
        <w:spacing w:before="0" w:beforeLines="0"/>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4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④</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环境监测组根据风向、污染物排放情况、敏感点等因素，对污染物种类、浓度和污染的范围及其可能的危害作出判断，上报高新区应急指挥部。制定监测方案，组织协议应急监测单位，配合辽宁省抚顺生态环境监测中心开展应急监测，并及时将监测情况汇报高新区应急指挥部，为现场应急指挥提供环境信息。</w:t>
      </w:r>
    </w:p>
    <w:p>
      <w:pPr>
        <w:spacing w:before="0" w:beforeLines="0"/>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5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⑤</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高新区应急指挥部将事故事态发展及应急救助情况上报东洲区、抚顺市政府主管部门。如事故影响范围超出园区范围则要求上级应急指挥部启动上级应急预案。在上级应急指挥部的统一指挥下，采取相应的处置措施。</w:t>
      </w:r>
    </w:p>
    <w:p>
      <w:pPr>
        <w:pStyle w:val="5"/>
        <w:spacing w:before="0" w:beforeLines="0"/>
        <w:ind w:left="281" w:hanging="281"/>
        <w:rPr>
          <w:color w:val="000000" w:themeColor="text1"/>
          <w14:textFill>
            <w14:solidFill>
              <w14:schemeClr w14:val="tx1"/>
            </w14:solidFill>
          </w14:textFill>
        </w:rPr>
      </w:pPr>
      <w:bookmarkStart w:id="81" w:name="_Toc453074625"/>
      <w:bookmarkStart w:id="82" w:name="_Toc116110929"/>
      <w:r>
        <w:rPr>
          <w:rFonts w:hint="eastAsia"/>
          <w:color w:val="000000" w:themeColor="text1"/>
          <w14:textFill>
            <w14:solidFill>
              <w14:schemeClr w14:val="tx1"/>
            </w14:solidFill>
          </w14:textFill>
        </w:rPr>
        <w:t>5.3.4管线溢油事件现场处置</w:t>
      </w:r>
      <w:bookmarkEnd w:id="81"/>
      <w:bookmarkEnd w:id="8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高新区内建设管廊、管道为园区内企业使用烯烃厂、石油二厂等石化企业产品提供管道输送服务。厂际管线突发跑油跑料等事故时采取如下现场处置措施。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（1）紧急救援组按照应急处置方案配戴防护用具在做好自身防护的情况下，指导事故企业将管道内的油品倒入罐中，用蒸汽或工业水等进行置换，然后再组织人员对管道泄漏点进行抢修。</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在组织管道泄漏抢修过程，如果泄漏点位于陆地，应在泄漏点下游挖沟设置集油坑，防止泄漏的油品扩散，用泥浆泵将油品吸入油槽车运回污油罐处理，被油品污染的土壤运到指定地点进行暂存处理，并用没有污染的土壤进行回填；</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若泄漏发生在河流下或附近，油品泄漏到地表水，则在组织管道抢修回收油品的同时，在油品上游采取工程措施筑坝堵截、导流河水；油品泄漏下游设置拦油网，对油品进行拦截，阻止油品进一步扩散。同时用吸油毡对漂浮在水面的浮油进行吸附、回收；</w:t>
      </w:r>
      <w:r>
        <w:rPr>
          <w:color w:val="000000" w:themeColor="text1"/>
          <w14:textFill>
            <w14:solidFill>
              <w14:schemeClr w14:val="tx1"/>
            </w14:solidFill>
          </w14:textFill>
        </w:rPr>
        <w:t xml:space="preserve"> </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（2）环境监测组组织协议应急监测单位，配合辽宁省抚顺生态环境监测中心开展应急监测，为现场应急指挥提供环境信息。</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（3）疏散引导组设定危险区布置警戒带，疏散区内人员，防止无关人员进入。并做好防止发生火灾爆炸事件的措施。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事件现场设置隔离警戒，通知周围的人员迅速撤离污染区域，并做好防止发生火灾爆炸事件的措施；</w:t>
      </w:r>
    </w:p>
    <w:p>
      <w:pPr>
        <w:pStyle w:val="5"/>
        <w:spacing w:before="0" w:beforeLines="0"/>
        <w:ind w:left="281" w:hanging="281"/>
        <w:rPr>
          <w:color w:val="000000" w:themeColor="text1"/>
          <w14:textFill>
            <w14:solidFill>
              <w14:schemeClr w14:val="tx1"/>
            </w14:solidFill>
          </w14:textFill>
        </w:rPr>
      </w:pPr>
      <w:bookmarkStart w:id="83" w:name="_Toc116110930"/>
      <w:bookmarkStart w:id="84" w:name="_Toc453074627"/>
      <w:r>
        <w:rPr>
          <w:rFonts w:hint="eastAsia"/>
          <w:color w:val="000000" w:themeColor="text1"/>
          <w14:textFill>
            <w14:solidFill>
              <w14:schemeClr w14:val="tx1"/>
            </w14:solidFill>
          </w14:textFill>
        </w:rPr>
        <w:t>5.3.5火灾事故现场处置</w:t>
      </w:r>
      <w:bookmarkEnd w:id="83"/>
      <w:bookmarkEnd w:id="8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发生火灾事故，现场人员第一时间拨打119消防报警电话，说明地点、火灾原因等。在专业消防队伍前先期采取如下现场处置措施。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紧急救援组配戴防护用具在做好自身防护的情况下，指导事故单位生产人员进行装置全面或避部紧急停车；切断着火设备的可燃物料来源；利用消防设施组织先期灭火，阻断火势对周边风险源漫延；紧急转输受威胁的相邻设备内物料；对难以转输的物资采取冷却或使用不燃、难燃材料遮盖等措施加以保护；利用破拆、喷雾水流、移动排烟设备等方法进行人工排烟；当火势迅速蔓延难以控制时，可以在火势蔓延的主要方向，根据火势蔓延的速度，选择适当位置拆除毗邻火灾现场的可燃建（构）筑物，开辟隔离带，阻断火势蔓延。</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通知协议单位采用工程机械对含有物料的消防废水进行截流，截流至周边污水管网，同时关闭雨水管网排河阀门。通知东泽污水处理厂做好接收事故废水的准备。</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如事故废水已经进入地表水，根据河流水量及地形、地势等在河道中采用筑堤、引流等工程措施。同时采用活性炭吸附、吸油毡吸油和拦油网隔油等治理措施，对已污染的河水进行收集和处理。将收集后的污染河水利用罐车或将污染河水泵入污水管网，进入园区事故池。</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疏散引导组设定危险区布置警戒带，疏散区内人员，防止无关人员进入；充分利用疏散通道、安全出口、疏散楼梯、消防电梯、外墙门窗、阳台、避难层（间）等途径和举高消防车、消防梯以及其他可利用的救生装备进行施救；采取排烟、防毒、射水等措施，减少烟雾、毒气及火势对被困人员的威胁；稳定被困人员的情绪，防止跳楼或者因拥挤踩踏造成人员伤亡；对被救人员采取防毒保护措施；对危重伤员应由具备急救资质的人员进行现场急救，对遇难人员及时搜寻、妥善保护。</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（3）物质保障组及时将防毒面具、呼吸气、防护服等防护用具，污水泵、转输水带等设施送至救援现场，为应急救援提供物资保障；</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高新区应急指挥部将事故事态发展及应急救助情况上报东洲区、抚顺市政府主管部门。如事故影响范围超出园区范围则要求上级应急指挥部启动上级应急预案。在上级应急指挥部的统一指挥下，采取相应的处置措施。</w:t>
      </w:r>
    </w:p>
    <w:p>
      <w:pPr>
        <w:pStyle w:val="5"/>
        <w:spacing w:before="0" w:beforeLines="0"/>
        <w:ind w:left="281" w:hanging="281"/>
        <w:rPr>
          <w:color w:val="000000" w:themeColor="text1"/>
          <w14:textFill>
            <w14:solidFill>
              <w14:schemeClr w14:val="tx1"/>
            </w14:solidFill>
          </w14:textFill>
        </w:rPr>
      </w:pPr>
      <w:bookmarkStart w:id="85" w:name="_Toc116110931"/>
      <w:bookmarkStart w:id="86" w:name="_Toc453074629"/>
      <w:r>
        <w:rPr>
          <w:rFonts w:hint="eastAsia"/>
          <w:color w:val="000000" w:themeColor="text1"/>
          <w14:textFill>
            <w14:solidFill>
              <w14:schemeClr w14:val="tx1"/>
            </w14:solidFill>
          </w14:textFill>
        </w:rPr>
        <w:t>5.3.6受伤人员现场救护、救治与医院救治</w:t>
      </w:r>
      <w:bookmarkEnd w:id="85"/>
      <w:bookmarkEnd w:id="8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根据事件分类、分级，附近医疗救治机构的设置和处理能力、制订有效的现场处置方案。</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发生突发环境事件时，通讯联络组根据指挥部指令通知拨打120紧急救援电话。</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（1）物质保障组利用抚顺石化公司乙烯化工厂现场急救站，对受伤人员进行紧急救治，并送到第三人民医院等医院进行进一步观察和救治。</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物质保障组在人员不足时调度园区企业救援人员，对受伤人员进行先期救助。对明显红肿的轻度烫伤，要立即用冷水清洗几分钟，用干净的纱布包好即可。如果局部皮肤起水泡、疼痛难忍、发热，要立即冷却30分钟以上，若患处起了水泡，不要自己碰破，应就医处理，以免留下疤痕；如果烫伤部位很脏，可用肥皂水冲洗，不可用力擦洗，蘸干水后，包上消毒纱布。包扎后局部发热、疼痛，并有液体渗出，可能是细菌感染，应马上到医院接受治疗；如果衣服与皮肤粘连，不可撕拉或用水浸湿，可将未粘的部分剪去，粘连部分留在皮肤上，尽快去医院治疗。</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火焰烧伤时应立即脱去着火的衣物，并迅速卧倒，慢慢滚动而压灭火焰，切忌用双手扑打，以免双手重度烧伤，切忌奔跑，以免发生呼吸道烧伤；对中小面积的四肢创面可用清洁冷水冲洗30－60分钟，然后简单包扎，去医院进一步处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伤者在护送医院途中，随时注意患者的呼吸、脉搏、面色、神志情况，随时给予必要的处置。</w:t>
      </w:r>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对于危重病，随时有生命危</w:t>
      </w:r>
      <w:r>
        <w:rPr>
          <w:rFonts w:hint="eastAsia"/>
          <w:color w:val="000000" w:themeColor="text1"/>
          <w14:textFill>
            <w14:solidFill>
              <w14:schemeClr w14:val="tx1"/>
            </w14:solidFill>
          </w14:textFill>
        </w:rPr>
        <w:t>险的、经不起途中颠簸的患者采用就近原则。通常将患者送至最近的、条件完善的医院抢救。</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一般情况时遵从患者及家属的意见，将患者送至合同医院或要求去的医院。医护人员也可根据患者及家属的要求，推荐适合患者诊疗的医院。</w:t>
      </w:r>
    </w:p>
    <w:p>
      <w:pPr>
        <w:spacing w:before="0" w:beforeLines="0"/>
        <w:ind w:firstLine="367" w:firstLineChars="175"/>
        <w:rPr>
          <w:rFonts w:asciiTheme="minorEastAsia" w:hAnsiTheme="minorEastAsia" w:eastAsiaTheme="minorEastAsia"/>
          <w:bCs/>
          <w:color w:val="000000" w:themeColor="text1"/>
          <w:sz w:val="21"/>
          <w:szCs w:val="21"/>
          <w14:textFill>
            <w14:solidFill>
              <w14:schemeClr w14:val="tx1"/>
            </w14:solidFill>
          </w14:textFill>
        </w:rPr>
      </w:pPr>
      <w:r>
        <w:rPr>
          <w:rFonts w:hint="eastAsia" w:asciiTheme="minorEastAsia" w:hAnsiTheme="minorEastAsia" w:eastAsiaTheme="minorEastAsia"/>
          <w:bCs/>
          <w:color w:val="000000" w:themeColor="text1"/>
          <w:sz w:val="21"/>
          <w:szCs w:val="21"/>
          <w14:textFill>
            <w14:solidFill>
              <w14:schemeClr w14:val="tx1"/>
            </w14:solidFill>
          </w14:textFill>
        </w:rPr>
        <w:t>表</w:t>
      </w:r>
      <w:r>
        <w:rPr>
          <w:rFonts w:asciiTheme="minorEastAsia" w:hAnsiTheme="minorEastAsia" w:eastAsiaTheme="minorEastAsia"/>
          <w:bCs/>
          <w:color w:val="000000" w:themeColor="text1"/>
          <w:sz w:val="21"/>
          <w:szCs w:val="21"/>
          <w14:textFill>
            <w14:solidFill>
              <w14:schemeClr w14:val="tx1"/>
            </w14:solidFill>
          </w14:textFill>
        </w:rPr>
        <w:t>5</w:t>
      </w:r>
      <w:r>
        <w:rPr>
          <w:rFonts w:hint="eastAsia" w:asciiTheme="minorEastAsia" w:hAnsiTheme="minorEastAsia" w:eastAsiaTheme="minorEastAsia"/>
          <w:bCs/>
          <w:color w:val="000000" w:themeColor="text1"/>
          <w:sz w:val="21"/>
          <w:szCs w:val="21"/>
          <w14:textFill>
            <w14:solidFill>
              <w14:schemeClr w14:val="tx1"/>
            </w14:solidFill>
          </w14:textFill>
        </w:rPr>
        <w:t>.3</w:t>
      </w:r>
      <w:r>
        <w:rPr>
          <w:rFonts w:asciiTheme="minorEastAsia" w:hAnsiTheme="minorEastAsia" w:eastAsiaTheme="minorEastAsia"/>
          <w:bCs/>
          <w:color w:val="000000" w:themeColor="text1"/>
          <w:sz w:val="21"/>
          <w:szCs w:val="21"/>
          <w14:textFill>
            <w14:solidFill>
              <w14:schemeClr w14:val="tx1"/>
            </w14:solidFill>
          </w14:textFill>
        </w:rPr>
        <w:t>-</w:t>
      </w:r>
      <w:r>
        <w:rPr>
          <w:rFonts w:hint="eastAsia" w:asciiTheme="minorEastAsia" w:hAnsiTheme="minorEastAsia" w:eastAsiaTheme="minorEastAsia"/>
          <w:bCs/>
          <w:color w:val="000000" w:themeColor="text1"/>
          <w:sz w:val="21"/>
          <w:szCs w:val="21"/>
          <w14:textFill>
            <w14:solidFill>
              <w14:schemeClr w14:val="tx1"/>
            </w14:solidFill>
          </w14:textFill>
        </w:rPr>
        <w:t xml:space="preserve">1                     </w:t>
      </w:r>
      <w:r>
        <w:rPr>
          <w:rFonts w:asciiTheme="minorEastAsia" w:hAnsiTheme="minorEastAsia" w:eastAsiaTheme="minorEastAsia"/>
          <w:bCs/>
          <w:color w:val="000000" w:themeColor="text1"/>
          <w:sz w:val="21"/>
          <w:szCs w:val="21"/>
          <w14:textFill>
            <w14:solidFill>
              <w14:schemeClr w14:val="tx1"/>
            </w14:solidFill>
          </w14:textFill>
        </w:rPr>
        <w:t xml:space="preserve"> </w:t>
      </w:r>
      <w:r>
        <w:rPr>
          <w:rFonts w:hint="eastAsia" w:asciiTheme="minorEastAsia" w:hAnsiTheme="minorEastAsia" w:eastAsiaTheme="minorEastAsia"/>
          <w:bCs/>
          <w:color w:val="000000" w:themeColor="text1"/>
          <w:sz w:val="21"/>
          <w:szCs w:val="21"/>
          <w14:textFill>
            <w14:solidFill>
              <w14:schemeClr w14:val="tx1"/>
            </w14:solidFill>
          </w14:textFill>
        </w:rPr>
        <w:t>医院联系方式</w:t>
      </w:r>
    </w:p>
    <w:tbl>
      <w:tblPr>
        <w:tblStyle w:val="54"/>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93"/>
        <w:gridCol w:w="2147"/>
        <w:gridCol w:w="1418"/>
        <w:gridCol w:w="3190"/>
        <w:gridCol w:w="8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exact"/>
        </w:trPr>
        <w:tc>
          <w:tcPr>
            <w:tcW w:w="416" w:type="pct"/>
            <w:tcBorders>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1289" w:type="pct"/>
            <w:tcBorders>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部门/单位</w:t>
            </w:r>
          </w:p>
        </w:tc>
        <w:tc>
          <w:tcPr>
            <w:tcW w:w="851" w:type="pct"/>
            <w:tcBorders>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电 话</w:t>
            </w:r>
          </w:p>
        </w:tc>
        <w:tc>
          <w:tcPr>
            <w:tcW w:w="1915" w:type="pct"/>
            <w:tcBorders>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地 址</w:t>
            </w:r>
          </w:p>
        </w:tc>
        <w:tc>
          <w:tcPr>
            <w:tcW w:w="529" w:type="pct"/>
            <w:tcBorders>
              <w:left w:val="single" w:color="000000" w:sz="6" w:space="0"/>
              <w:bottom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exact"/>
        </w:trPr>
        <w:tc>
          <w:tcPr>
            <w:tcW w:w="416" w:type="pct"/>
            <w:tcBorders>
              <w:top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1289" w:type="pct"/>
            <w:tcBorders>
              <w:top w:val="single" w:color="000000" w:sz="6" w:space="0"/>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抚顺市第三人民医院</w:t>
            </w:r>
          </w:p>
        </w:tc>
        <w:tc>
          <w:tcPr>
            <w:tcW w:w="851"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shd w:val="clear" w:color="auto" w:fill="FFFFFF"/>
                <w14:textFill>
                  <w14:solidFill>
                    <w14:schemeClr w14:val="tx1"/>
                  </w14:solidFill>
                </w14:textFill>
              </w:rPr>
              <w:t>(</w:t>
            </w:r>
            <w:r>
              <w:rPr>
                <w:rFonts w:asciiTheme="minorEastAsia" w:hAnsiTheme="minorEastAsia" w:eastAsiaTheme="minorEastAsia"/>
                <w:color w:val="000000" w:themeColor="text1"/>
                <w:sz w:val="21"/>
                <w:szCs w:val="21"/>
                <w14:textFill>
                  <w14:solidFill>
                    <w14:schemeClr w14:val="tx1"/>
                  </w14:solidFill>
                </w14:textFill>
              </w:rPr>
              <w:t>024)54630956</w:t>
            </w:r>
          </w:p>
        </w:tc>
        <w:tc>
          <w:tcPr>
            <w:tcW w:w="1915"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抚顺市东洲区绥阳路</w:t>
            </w:r>
            <w:r>
              <w:rPr>
                <w:rFonts w:asciiTheme="minorEastAsia" w:hAnsiTheme="minorEastAsia" w:eastAsiaTheme="minorEastAsia"/>
                <w:color w:val="000000" w:themeColor="text1"/>
                <w:sz w:val="21"/>
                <w:szCs w:val="21"/>
                <w14:textFill>
                  <w14:solidFill>
                    <w14:schemeClr w14:val="tx1"/>
                  </w14:solidFill>
                </w14:textFill>
              </w:rPr>
              <w:t>28</w:t>
            </w:r>
            <w:r>
              <w:rPr>
                <w:rFonts w:hint="eastAsia" w:asciiTheme="minorEastAsia" w:hAnsiTheme="minorEastAsia" w:eastAsiaTheme="minorEastAsia"/>
                <w:color w:val="000000" w:themeColor="text1"/>
                <w:sz w:val="21"/>
                <w:szCs w:val="21"/>
                <w14:textFill>
                  <w14:solidFill>
                    <w14:schemeClr w14:val="tx1"/>
                  </w14:solidFill>
                </w14:textFill>
              </w:rPr>
              <w:t>号</w:t>
            </w:r>
          </w:p>
        </w:tc>
        <w:tc>
          <w:tcPr>
            <w:tcW w:w="529" w:type="pct"/>
            <w:tcBorders>
              <w:top w:val="single" w:color="000000" w:sz="6" w:space="0"/>
              <w:left w:val="single" w:color="000000" w:sz="6" w:space="0"/>
              <w:bottom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三</w:t>
            </w:r>
            <w:r>
              <w:rPr>
                <w:rFonts w:asciiTheme="minorEastAsia" w:hAnsiTheme="minorEastAsia" w:eastAsiaTheme="minorEastAsia"/>
                <w:color w:val="000000" w:themeColor="text1"/>
                <w:sz w:val="21"/>
                <w:szCs w:val="21"/>
                <w14:textFill>
                  <w14:solidFill>
                    <w14:schemeClr w14:val="tx1"/>
                  </w14:solidFill>
                </w14:textFill>
              </w:rPr>
              <w:t>级甲等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16" w:type="pct"/>
            <w:tcBorders>
              <w:top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lang w:val="en-US"/>
                <w14:textFill>
                  <w14:solidFill>
                    <w14:schemeClr w14:val="tx1"/>
                  </w14:solidFill>
                </w14:textFill>
              </w:rPr>
            </w:pPr>
            <w:r>
              <w:rPr>
                <w:rFonts w:hint="eastAsia" w:asciiTheme="minorEastAsia" w:hAnsiTheme="minorEastAsia" w:eastAsiaTheme="minorEastAsia"/>
                <w:color w:val="000000" w:themeColor="text1"/>
                <w:sz w:val="21"/>
                <w:szCs w:val="21"/>
                <w:lang w:val="en-US"/>
                <w14:textFill>
                  <w14:solidFill>
                    <w14:schemeClr w14:val="tx1"/>
                  </w14:solidFill>
                </w14:textFill>
              </w:rPr>
              <w:t>2</w:t>
            </w:r>
          </w:p>
        </w:tc>
        <w:tc>
          <w:tcPr>
            <w:tcW w:w="1289" w:type="pct"/>
            <w:tcBorders>
              <w:top w:val="single" w:color="000000" w:sz="6" w:space="0"/>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抚顺市矿务局总医院</w:t>
            </w:r>
          </w:p>
        </w:tc>
        <w:tc>
          <w:tcPr>
            <w:tcW w:w="851"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(024)52533771</w:t>
            </w:r>
          </w:p>
        </w:tc>
        <w:tc>
          <w:tcPr>
            <w:tcW w:w="1915"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抚顺市新抚区中央大街24号</w:t>
            </w:r>
          </w:p>
        </w:tc>
        <w:tc>
          <w:tcPr>
            <w:tcW w:w="529" w:type="pct"/>
            <w:tcBorders>
              <w:top w:val="single" w:color="000000" w:sz="6" w:space="0"/>
              <w:left w:val="single" w:color="000000" w:sz="6" w:space="0"/>
              <w:bottom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三</w:t>
            </w:r>
            <w:r>
              <w:rPr>
                <w:rFonts w:asciiTheme="minorEastAsia" w:hAnsiTheme="minorEastAsia" w:eastAsiaTheme="minorEastAsia"/>
                <w:color w:val="000000" w:themeColor="text1"/>
                <w:sz w:val="21"/>
                <w:szCs w:val="21"/>
                <w14:textFill>
                  <w14:solidFill>
                    <w14:schemeClr w14:val="tx1"/>
                  </w14:solidFill>
                </w14:textFill>
              </w:rPr>
              <w:t>级甲等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exact"/>
        </w:trPr>
        <w:tc>
          <w:tcPr>
            <w:tcW w:w="416" w:type="pct"/>
            <w:tcBorders>
              <w:top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lang w:val="en-US"/>
                <w14:textFill>
                  <w14:solidFill>
                    <w14:schemeClr w14:val="tx1"/>
                  </w14:solidFill>
                </w14:textFill>
              </w:rPr>
            </w:pPr>
            <w:r>
              <w:rPr>
                <w:rFonts w:hint="eastAsia" w:asciiTheme="minorEastAsia" w:hAnsiTheme="minorEastAsia" w:eastAsiaTheme="minorEastAsia"/>
                <w:color w:val="000000" w:themeColor="text1"/>
                <w:sz w:val="21"/>
                <w:szCs w:val="21"/>
                <w:lang w:val="en-US"/>
                <w14:textFill>
                  <w14:solidFill>
                    <w14:schemeClr w14:val="tx1"/>
                  </w14:solidFill>
                </w14:textFill>
              </w:rPr>
              <w:t>3</w:t>
            </w:r>
          </w:p>
        </w:tc>
        <w:tc>
          <w:tcPr>
            <w:tcW w:w="1289" w:type="pct"/>
            <w:tcBorders>
              <w:top w:val="single" w:color="000000" w:sz="6" w:space="0"/>
              <w:left w:val="single" w:color="000000" w:sz="6" w:space="0"/>
              <w:bottom w:val="single" w:color="000000" w:sz="6" w:space="0"/>
              <w:right w:val="single" w:color="000000" w:sz="6" w:space="0"/>
            </w:tcBorders>
          </w:tcPr>
          <w:p>
            <w:pPr>
              <w:pStyle w:val="78"/>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抚顺市中心医院</w:t>
            </w:r>
          </w:p>
        </w:tc>
        <w:tc>
          <w:tcPr>
            <w:tcW w:w="851"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(024)57850632</w:t>
            </w:r>
          </w:p>
        </w:tc>
        <w:tc>
          <w:tcPr>
            <w:tcW w:w="1915" w:type="pct"/>
            <w:tcBorders>
              <w:top w:val="single" w:color="000000" w:sz="6" w:space="0"/>
              <w:left w:val="single" w:color="000000" w:sz="6" w:space="0"/>
              <w:bottom w:val="single" w:color="000000" w:sz="6" w:space="0"/>
              <w:right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抚顺市顺城区新城路中段</w:t>
            </w:r>
            <w:r>
              <w:rPr>
                <w:rFonts w:hint="eastAsia" w:asciiTheme="minorEastAsia" w:hAnsiTheme="minorEastAsia" w:eastAsiaTheme="minorEastAsia"/>
                <w:color w:val="000000" w:themeColor="text1"/>
                <w:sz w:val="21"/>
                <w:szCs w:val="21"/>
                <w14:textFill>
                  <w14:solidFill>
                    <w14:schemeClr w14:val="tx1"/>
                  </w14:solidFill>
                </w14:textFill>
              </w:rPr>
              <w:t>5号</w:t>
            </w:r>
          </w:p>
        </w:tc>
        <w:tc>
          <w:tcPr>
            <w:tcW w:w="529" w:type="pct"/>
            <w:tcBorders>
              <w:top w:val="single" w:color="000000" w:sz="6" w:space="0"/>
              <w:left w:val="single" w:color="000000" w:sz="6" w:space="0"/>
              <w:bottom w:val="single" w:color="000000" w:sz="6" w:space="0"/>
            </w:tcBorders>
          </w:tcPr>
          <w:p>
            <w:pPr>
              <w:spacing w:before="0" w:beforeLines="0" w:line="32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三</w:t>
            </w:r>
            <w:r>
              <w:rPr>
                <w:rFonts w:asciiTheme="minorEastAsia" w:hAnsiTheme="minorEastAsia" w:eastAsiaTheme="minorEastAsia"/>
                <w:color w:val="000000" w:themeColor="text1"/>
                <w:sz w:val="21"/>
                <w:szCs w:val="21"/>
                <w14:textFill>
                  <w14:solidFill>
                    <w14:schemeClr w14:val="tx1"/>
                  </w14:solidFill>
                </w14:textFill>
              </w:rPr>
              <w:t>级甲等</w:t>
            </w:r>
          </w:p>
        </w:tc>
      </w:tr>
    </w:tbl>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w:t>
      </w:r>
      <w:r>
        <w:rPr>
          <w:rFonts w:asciiTheme="minorEastAsia" w:hAnsiTheme="minorEastAsia" w:eastAsiaTheme="minorEastAsia"/>
          <w:color w:val="000000" w:themeColor="text1"/>
          <w14:textFill>
            <w14:solidFill>
              <w14:schemeClr w14:val="tx1"/>
            </w14:solidFill>
          </w14:textFill>
        </w:rPr>
        <w:t>应急救援操作方法：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①现场急救人工呼吸法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w:t>
      </w:r>
      <w:r>
        <w:rPr>
          <w:rFonts w:asciiTheme="minorEastAsia" w:hAnsiTheme="minorEastAsia" w:eastAsiaTheme="minorEastAsia"/>
          <w:color w:val="000000" w:themeColor="text1"/>
          <w14:textFill>
            <w14:solidFill>
              <w14:schemeClr w14:val="tx1"/>
            </w14:solidFill>
          </w14:textFill>
        </w:rPr>
        <w:t>在保持伤员气道通畅的同时，救护人员用放在伤员额上的手指捏住伤员鼻翼，救护人员深吸气后，与伤员口对口紧合，在不漏气的情况下，先连续大口吹气两次，每次1—1.5s。如果两次吹气后试测颈动脉仍无搏动，可判断心跳已经停止，要立即同时进行胸外按压</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w:t>
      </w:r>
      <w:r>
        <w:rPr>
          <w:rFonts w:asciiTheme="minorEastAsia" w:hAnsiTheme="minorEastAsia" w:eastAsiaTheme="minorEastAsia"/>
          <w:color w:val="000000" w:themeColor="text1"/>
          <w14:textFill>
            <w14:solidFill>
              <w14:schemeClr w14:val="tx1"/>
            </w14:solidFill>
          </w14:textFill>
        </w:rPr>
        <w:t>除开始时大口吹气两次外。正常口对口（鼻）呼吸的吹气量不需过大，以免引起胃膨胀。吹气和放松时要注意伤员胸部应有起伏的呼吸动作。吹气时如有较大阻力，可能是头部后仰不够，应及时纠正</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C、</w:t>
      </w:r>
      <w:r>
        <w:rPr>
          <w:rFonts w:asciiTheme="minorEastAsia" w:hAnsiTheme="minorEastAsia" w:eastAsiaTheme="minorEastAsia"/>
          <w:color w:val="000000" w:themeColor="text1"/>
          <w14:textFill>
            <w14:solidFill>
              <w14:schemeClr w14:val="tx1"/>
            </w14:solidFill>
          </w14:textFill>
        </w:rPr>
        <w:t>伤员如牙关紧闭，可口对鼻人工呼吸。口对鼻人工呼吸吹气时，要将伤员嘴唇紧闭，防止漏气。</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②胸外按压法：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确定正确按压位置的步骤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w:t>
      </w:r>
      <w:r>
        <w:rPr>
          <w:rFonts w:asciiTheme="minorEastAsia" w:hAnsiTheme="minorEastAsia" w:eastAsiaTheme="minorEastAsia"/>
          <w:color w:val="000000" w:themeColor="text1"/>
          <w14:textFill>
            <w14:solidFill>
              <w14:schemeClr w14:val="tx1"/>
            </w14:solidFill>
          </w14:textFill>
        </w:rPr>
        <w:t>右手的食指和中指沿触电伤员的右侧肋弓下缘向上，找到肋骨和胸骨接合处的中点。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w:t>
      </w:r>
      <w:r>
        <w:rPr>
          <w:rFonts w:asciiTheme="minorEastAsia" w:hAnsiTheme="minorEastAsia" w:eastAsiaTheme="minorEastAsia"/>
          <w:color w:val="000000" w:themeColor="text1"/>
          <w14:textFill>
            <w14:solidFill>
              <w14:schemeClr w14:val="tx1"/>
            </w14:solidFill>
          </w14:textFill>
        </w:rPr>
        <w:t>两手指并齐，中指放在切迹中点（剑突底部），食指平放在胸骨下部。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C、</w:t>
      </w:r>
      <w:r>
        <w:rPr>
          <w:rFonts w:asciiTheme="minorEastAsia" w:hAnsiTheme="minorEastAsia" w:eastAsiaTheme="minorEastAsia"/>
          <w:color w:val="000000" w:themeColor="text1"/>
          <w14:textFill>
            <w14:solidFill>
              <w14:schemeClr w14:val="tx1"/>
            </w14:solidFill>
          </w14:textFill>
        </w:rPr>
        <w:t>另一只手的掌根紧挨食指上缘，置于胸骨上，即为正确按压位置。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正确的按压姿势：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使伤员仰面躺在平硬的地方，救护人员立或跪在伤员一侧肩旁，救护人员的两肩应位于伤员胸骨正上方，两臂伸直，肘关节固定不屈，两手掌根相叠，手指翘起，不接触伤员胸壁。以髋关节为支点，利用上身的重力，垂直将正常成人胸骨压陷3—5cm（儿童和瘦弱者酌减）。压至要求程度后，立即全部放松，但放松时救护人员的掌根不得离开胸壁。按压必须有效，有效的标志是按压过程中可以触及颈动脉搏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操作频率：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w:t>
      </w:r>
      <w:r>
        <w:rPr>
          <w:rFonts w:asciiTheme="minorEastAsia" w:hAnsiTheme="minorEastAsia" w:eastAsiaTheme="minorEastAsia"/>
          <w:color w:val="000000" w:themeColor="text1"/>
          <w14:textFill>
            <w14:solidFill>
              <w14:schemeClr w14:val="tx1"/>
            </w14:solidFill>
          </w14:textFill>
        </w:rPr>
        <w:t>胸外按压要以均匀速度进行，每分80次左右，每次按压和放松的时间相等</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w:t>
      </w:r>
      <w:r>
        <w:rPr>
          <w:rFonts w:asciiTheme="minorEastAsia" w:hAnsiTheme="minorEastAsia" w:eastAsiaTheme="minorEastAsia"/>
          <w:color w:val="000000" w:themeColor="text1"/>
          <w14:textFill>
            <w14:solidFill>
              <w14:schemeClr w14:val="tx1"/>
            </w14:solidFill>
          </w14:textFill>
        </w:rPr>
        <w:t>胸外按压与口（鼻）人工呼吸同时进行，其节奏为：单人抢救时，每按压15次后吹气2次（15：2），反复进行，双人抢救时，每按压5次后由另一人吹气1次（5：1），反复进行。</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抢救过程中的再判定：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w:t>
      </w:r>
      <w:r>
        <w:rPr>
          <w:rFonts w:asciiTheme="minorEastAsia" w:hAnsiTheme="minorEastAsia" w:eastAsiaTheme="minorEastAsia"/>
          <w:color w:val="000000" w:themeColor="text1"/>
          <w14:textFill>
            <w14:solidFill>
              <w14:schemeClr w14:val="tx1"/>
            </w14:solidFill>
          </w14:textFill>
        </w:rPr>
        <w:t>按压吹气1min后(相当于单人抢救时做4个15:2压吹循环.应用看、听、试的方法在5—7s时间内完成对伤员呼吸和心跳是否恢复的再判定</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w:t>
      </w:r>
      <w:r>
        <w:rPr>
          <w:rFonts w:asciiTheme="minorEastAsia" w:hAnsiTheme="minorEastAsia" w:eastAsiaTheme="minorEastAsia"/>
          <w:color w:val="000000" w:themeColor="text1"/>
          <w14:textFill>
            <w14:solidFill>
              <w14:schemeClr w14:val="tx1"/>
            </w14:solidFill>
          </w14:textFill>
        </w:rPr>
        <w:t>若判定颈动脉已有搏动但无呼吸，则暂停胸外按压，而再进行2次口对口人工呼吸，接着每5s吹气一次(即每分钟12次)。如脉搏和呼吸均末恢复，则继续坚持心肺复苏法抢救</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C、</w:t>
      </w:r>
      <w:r>
        <w:rPr>
          <w:rFonts w:asciiTheme="minorEastAsia" w:hAnsiTheme="minorEastAsia" w:eastAsiaTheme="minorEastAsia"/>
          <w:color w:val="000000" w:themeColor="text1"/>
          <w14:textFill>
            <w14:solidFill>
              <w14:schemeClr w14:val="tx1"/>
            </w14:solidFill>
          </w14:textFill>
        </w:rPr>
        <w:t>在抢救过程中，要每隔数分钟再判定一次，每次判定时间均不得超过5—7s。在医务人员末接替抢救前，现场抢救人员不得放弃现场抢救。</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③人身着火扑救法：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w:t>
      </w:r>
      <w:r>
        <w:rPr>
          <w:rFonts w:asciiTheme="minorEastAsia" w:hAnsiTheme="minorEastAsia" w:eastAsiaTheme="minorEastAsia"/>
          <w:color w:val="000000" w:themeColor="text1"/>
          <w14:textFill>
            <w14:solidFill>
              <w14:schemeClr w14:val="tx1"/>
            </w14:solidFill>
          </w14:textFill>
        </w:rPr>
        <w:t>如果人身着火，衣服能撕开脱下时，应尽可能迅速地脱下，浸入水中或踩灭</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w:t>
      </w:r>
      <w:r>
        <w:rPr>
          <w:rFonts w:asciiTheme="minorEastAsia" w:hAnsiTheme="minorEastAsia" w:eastAsiaTheme="minorEastAsia"/>
          <w:color w:val="000000" w:themeColor="text1"/>
          <w14:textFill>
            <w14:solidFill>
              <w14:schemeClr w14:val="tx1"/>
            </w14:solidFill>
          </w14:textFill>
        </w:rPr>
        <w:t>若来不及脱衣服，可就地打滚，把火窒息或者可就近跳入浅水中。但人身体烧伤过大则不能跳水，以防止细菌感染</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若附近有人在场，未着火的人需要镇定沉着，立即用覆盖物，如石棉被等朝着火人身上的火点覆盖，扑或浇水或帮他撕下衣服，将火扑灭。</w:t>
      </w:r>
    </w:p>
    <w:p>
      <w:pPr>
        <w:pStyle w:val="5"/>
        <w:spacing w:before="0" w:beforeLines="0"/>
        <w:ind w:left="281" w:hanging="281"/>
        <w:rPr>
          <w:color w:val="000000" w:themeColor="text1"/>
          <w14:textFill>
            <w14:solidFill>
              <w14:schemeClr w14:val="tx1"/>
            </w14:solidFill>
          </w14:textFill>
        </w:rPr>
      </w:pPr>
      <w:bookmarkStart w:id="87" w:name="_Toc116110932"/>
      <w:r>
        <w:rPr>
          <w:rFonts w:hint="eastAsia"/>
          <w:color w:val="000000" w:themeColor="text1"/>
          <w14:textFill>
            <w14:solidFill>
              <w14:schemeClr w14:val="tx1"/>
            </w14:solidFill>
          </w14:textFill>
        </w:rPr>
        <w:t>5.3.7应急救援人员和相关人员临时安置措施</w:t>
      </w:r>
      <w:bookmarkEnd w:id="87"/>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（1）应急救援人员的安全防护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事件类型不同、影响范围不同和应急人员职责不同，采取不同的防护措施：在处置现场事件时，应急指挥部技术专家组组织专家对事件发生场地及周边的安全情况进行科学评估，保障现场及周边区域应急救援人员的人身安全。根据泄漏点的位置及泄漏量的大小及危险程度，决定应急人员进入现场的方式和处置措施。操作人员必须穿戴防化连体服及空气呼吸器。严禁未经专门培训、未佩戴防护用品的人员参与现场抢险。防毒面具只能在短时间、轻微泄漏或处置残存</w:t>
      </w:r>
      <w:r>
        <w:rPr>
          <w:rFonts w:hint="eastAsia" w:asciiTheme="minorEastAsia" w:hAnsiTheme="minorEastAsia" w:eastAsiaTheme="minorEastAsia"/>
          <w:color w:val="000000" w:themeColor="text1"/>
          <w:lang w:val="en-US" w:eastAsia="zh-CN"/>
          <w14:textFill>
            <w14:solidFill>
              <w14:schemeClr w14:val="tx1"/>
            </w14:solidFill>
          </w14:textFill>
        </w:rPr>
        <w:t>气体</w:t>
      </w:r>
      <w:r>
        <w:rPr>
          <w:rFonts w:hint="eastAsia" w:asciiTheme="minorEastAsia" w:hAnsiTheme="minorEastAsia" w:eastAsiaTheme="minorEastAsia"/>
          <w:color w:val="000000" w:themeColor="text1"/>
          <w14:textFill>
            <w14:solidFill>
              <w14:schemeClr w14:val="tx1"/>
            </w14:solidFill>
          </w14:textFill>
        </w:rPr>
        <w:t>的情况下使用。当发生大量泄漏时，抢险人员（包括消防队员）必须使用正压式空气呼吸器、全封闭防化服。操作人员要熟悉掌握物料的特性及危害程度，掌握逃生、自救、报警技能，杜绝盲目作业。一旦有异常情况，可能危及抢险救援人员安全时，应设法指挥和帮助抢险救援人员沿安全路线撤离。</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（2）相关人员临时安置措施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突发环境事件发生后，应急救援指挥部通过电话、广播、媒体等第一时间告知周边企业和公众，告知具体包括突发环境事件发生地点、事件控制现状、可能产生的影响程度、公众疏散路线及避难所等内容。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园区依据发展需要，逐步规划和建设与人口密度、城区规模相适应的应急避难场所，完善应急疏散管理办法和程序，明确各级责任人，确保在紧急情况下公众安全、有序转移或疏散。</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高新区管委会负责及时给安置的受影响区域单位、人员提供必要的生活设施和物品，保证在相应的时间内生活得到基本保证；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提供基本的医疗保障，对伤势较重的要及时送至相关医院治疗。</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提供必要的安全保护工作。</w:t>
      </w:r>
    </w:p>
    <w:p>
      <w:pPr>
        <w:pStyle w:val="5"/>
        <w:spacing w:before="0" w:beforeLines="0"/>
        <w:ind w:left="281" w:hanging="281"/>
        <w:rPr>
          <w:color w:val="000000" w:themeColor="text1"/>
          <w14:textFill>
            <w14:solidFill>
              <w14:schemeClr w14:val="tx1"/>
            </w14:solidFill>
          </w14:textFill>
        </w:rPr>
      </w:pPr>
      <w:bookmarkStart w:id="88" w:name="_Toc116110933"/>
      <w:r>
        <w:rPr>
          <w:rFonts w:hint="eastAsia"/>
          <w:color w:val="000000" w:themeColor="text1"/>
          <w14:textFill>
            <w14:solidFill>
              <w14:schemeClr w14:val="tx1"/>
            </w14:solidFill>
          </w14:textFill>
        </w:rPr>
        <w:t>5.3.8危险区、安全区的设定</w:t>
      </w:r>
      <w:bookmarkEnd w:id="88"/>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危险区和安全区的设定要根据不同类型的污染事件以及环境保护目标的距离进行划定。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（1）水环境突发事件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水环境突发事件的危险区的划定，主要根据危险化学品以及危险固体废物排入水体的量、排放时间和纳污河水文地质情况等参数，可以初步判定污染区域和危险区域的范围。当突发环境事件比较紧急需要快速判定污染区域时，也可根据经验初步判定大致范围，由此确定危险区的范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（2）危险化学品泄漏突发环境事件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对于危险化学品泄漏突发事件的危险区的划定，主要根据危险化学品的毒性、排放量、排放时间、事故现场周边地形和当时大气环境情况等参数有关。</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（3）危险化学品火灾突发环境事件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对于危险品泄漏导致的火灾爆炸等突发事件的危险区的划定，主要根据危险品的排放量、排放时间、事故现场周边地形和当时大气环境情况等参数有关。</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（4）大气污染环境风险受体的应急措施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根据污染物的性质，事件类型、可控性、严重程度和影响范围，风向和风速，结合事件发生企业（或事业）单位的环境应急预案做出应急响应工作；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）水污染环境风险受体的应急措施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根据污染物的性质，事件类型、可控性、严重程度和影响范围，河流的流速与流量（或水体的状况）情况，结合事件发生企业（或事业）单位的环境应急预案做出应急响应工作。</w:t>
      </w:r>
    </w:p>
    <w:p>
      <w:pPr>
        <w:pStyle w:val="5"/>
        <w:spacing w:before="0" w:beforeLines="0"/>
        <w:ind w:left="281" w:hanging="281"/>
        <w:rPr>
          <w:color w:val="000000" w:themeColor="text1"/>
          <w14:textFill>
            <w14:solidFill>
              <w14:schemeClr w14:val="tx1"/>
            </w14:solidFill>
          </w14:textFill>
        </w:rPr>
      </w:pPr>
      <w:bookmarkStart w:id="89" w:name="_Toc116110934"/>
      <w:r>
        <w:rPr>
          <w:rFonts w:hint="eastAsia"/>
          <w:color w:val="000000" w:themeColor="text1"/>
          <w14:textFill>
            <w14:solidFill>
              <w14:schemeClr w14:val="tx1"/>
            </w14:solidFill>
          </w14:textFill>
        </w:rPr>
        <w:t>5.3.9应急救援措施</w:t>
      </w:r>
      <w:bookmarkEnd w:id="8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（1）企业层面</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企业应该按照企业突发环境事件应急预案或根据公司的实际情况，成立突发环境事件应急指挥部，由总指挥、副总指挥和各应急小组组成。应急小组包括</w:t>
      </w:r>
      <w:r>
        <w:rPr>
          <w:rFonts w:hint="eastAsia" w:asciiTheme="minorEastAsia" w:hAnsiTheme="minorEastAsia" w:eastAsiaTheme="minorEastAsia"/>
          <w:color w:val="000000" w:themeColor="text1"/>
          <w:lang w:val="en-US" w:eastAsia="zh-CN"/>
          <w14:textFill>
            <w14:solidFill>
              <w14:schemeClr w14:val="tx1"/>
            </w14:solidFill>
          </w14:textFill>
        </w:rPr>
        <w:t>应急办公室、</w:t>
      </w:r>
      <w:r>
        <w:rPr>
          <w:rFonts w:hint="eastAsia" w:asciiTheme="minorEastAsia" w:hAnsiTheme="minorEastAsia" w:eastAsiaTheme="minorEastAsia"/>
          <w:color w:val="000000" w:themeColor="text1"/>
          <w14:textFill>
            <w14:solidFill>
              <w14:schemeClr w14:val="tx1"/>
            </w14:solidFill>
          </w14:textFill>
        </w:rPr>
        <w:t>抢险</w:t>
      </w:r>
      <w:r>
        <w:rPr>
          <w:rFonts w:hint="eastAsia" w:asciiTheme="minorEastAsia" w:hAnsiTheme="minorEastAsia" w:eastAsiaTheme="minorEastAsia"/>
          <w:color w:val="000000" w:themeColor="text1"/>
          <w:lang w:val="en-US" w:eastAsia="zh-CN"/>
          <w14:textFill>
            <w14:solidFill>
              <w14:schemeClr w14:val="tx1"/>
            </w14:solidFill>
          </w14:textFill>
        </w:rPr>
        <w:t>救援</w:t>
      </w:r>
      <w:r>
        <w:rPr>
          <w:rFonts w:hint="eastAsia" w:asciiTheme="minorEastAsia" w:hAnsiTheme="minorEastAsia" w:eastAsiaTheme="minorEastAsia"/>
          <w:color w:val="000000" w:themeColor="text1"/>
          <w14:textFill>
            <w14:solidFill>
              <w14:schemeClr w14:val="tx1"/>
            </w14:solidFill>
          </w14:textFill>
        </w:rPr>
        <w:t>组、</w:t>
      </w:r>
      <w:r>
        <w:rPr>
          <w:rFonts w:hint="eastAsia" w:asciiTheme="minorEastAsia" w:hAnsiTheme="minorEastAsia" w:eastAsiaTheme="minorEastAsia"/>
          <w:color w:val="000000" w:themeColor="text1"/>
          <w:lang w:val="en-US" w:eastAsia="zh-CN"/>
          <w14:textFill>
            <w14:solidFill>
              <w14:schemeClr w14:val="tx1"/>
            </w14:solidFill>
          </w14:textFill>
        </w:rPr>
        <w:t>物质保障组</w:t>
      </w: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lang w:val="en-US" w:eastAsia="zh-CN"/>
          <w14:textFill>
            <w14:solidFill>
              <w14:schemeClr w14:val="tx1"/>
            </w14:solidFill>
          </w14:textFill>
        </w:rPr>
        <w:t>通讯联络组</w:t>
      </w:r>
      <w:r>
        <w:rPr>
          <w:rFonts w:hint="eastAsia" w:asciiTheme="minorEastAsia" w:hAnsiTheme="minorEastAsia" w:eastAsiaTheme="minorEastAsia"/>
          <w:color w:val="000000" w:themeColor="text1"/>
          <w14:textFill>
            <w14:solidFill>
              <w14:schemeClr w14:val="tx1"/>
            </w14:solidFill>
          </w14:textFill>
        </w:rPr>
        <w:t>、医疗救护组、</w:t>
      </w:r>
      <w:r>
        <w:rPr>
          <w:rFonts w:hint="eastAsia" w:asciiTheme="minorEastAsia" w:hAnsiTheme="minorEastAsia" w:eastAsiaTheme="minorEastAsia"/>
          <w:color w:val="000000" w:themeColor="text1"/>
          <w:lang w:val="en-US" w:eastAsia="zh-CN"/>
          <w14:textFill>
            <w14:solidFill>
              <w14:schemeClr w14:val="tx1"/>
            </w14:solidFill>
          </w14:textFill>
        </w:rPr>
        <w:t>环境监测组、疏散引导组和技术专家组</w:t>
      </w:r>
      <w:r>
        <w:rPr>
          <w:rFonts w:hint="eastAsia" w:asciiTheme="minorEastAsia" w:hAnsiTheme="minorEastAsia" w:eastAsiaTheme="minorEastAsia"/>
          <w:color w:val="000000" w:themeColor="text1"/>
          <w14:textFill>
            <w14:solidFill>
              <w14:schemeClr w14:val="tx1"/>
            </w14:solidFill>
          </w14:textFill>
        </w:rPr>
        <w:t>等。当发生环境风险时应立即响应，由企业应急救援指挥部发动救援工作，根据本公司的具体情况，与厂区周围的安全、医疗、消防等部门积极合作，作好应急救援工作。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（2）园区层面</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当突发环境事件可能超出发生企业或波及相邻企业或失控，高新区应急指挥部接到突发环境事件报警后应立即启动高新区环境事件应急预案，调集物资、设备与人员，全力控制事态发展，尽可能控制和缩小污染物的扩散、蔓延范围，采取有效措施，避免土壤和水体污染，降低突发环境事件的危害。必要时及时向上级部门反映汇报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（3）园区外部救援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突发环境事件救援过程中，现场指挥部人员将现场情况及时向高新区环境应指挥部汇报。高新区环境应指挥部根据现场情况调查和评估事件的可能发展方向，预测事件的发展趋势；根据事态发展决定是否请求外援。在外部救援队伍到来后，现场指挥部向救援人员详细介绍现场所贮存和使用的危险物质的情况，说明其他相关危险情况；依托有关部门或单位对园区周边环境质量进行监测，以确定突发环境事件的影响程度， 并对影响范围内的居民进行疏散。</w:t>
      </w:r>
    </w:p>
    <w:p>
      <w:pPr>
        <w:pStyle w:val="4"/>
        <w:spacing w:before="156"/>
        <w:ind w:left="301" w:hanging="301"/>
        <w:rPr>
          <w:color w:val="000000" w:themeColor="text1"/>
          <w14:textFill>
            <w14:solidFill>
              <w14:schemeClr w14:val="tx1"/>
            </w14:solidFill>
          </w14:textFill>
        </w:rPr>
      </w:pPr>
      <w:bookmarkStart w:id="90" w:name="_Toc116110935"/>
      <w:r>
        <w:rPr>
          <w:rFonts w:hint="eastAsia"/>
          <w:color w:val="000000" w:themeColor="text1"/>
          <w14:textFill>
            <w14:solidFill>
              <w14:schemeClr w14:val="tx1"/>
            </w14:solidFill>
          </w14:textFill>
        </w:rPr>
        <w:t>5.4应急监测</w:t>
      </w:r>
      <w:bookmarkEnd w:id="9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获知突发环境事件信息后，高新区应急环境监测组立即协调应急监测单位按照《突发环境事件应急监测技术规范》(HJ589-2010)开展应急监测，及时向高新区环境应急指挥部和上一级环境保护主管部门报告监测结果。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突发环境事件时，发生突发环境事件的企业应按照企业制定的应急计划执行应急监测任务。高新区应急环境监测组及相关部门应迅速组织监测人员赶赴现场，在企业（或事业）单位环境应急监测小组配合下根据实际情况，迅速确定监测方案（包括监测布点、频次、项目和方法等），及时开展针对突发环境事件的应急监测工作，在尽可能短的时间内，用小型、便携、简易的仪器对污染物质种类、浓度和污染的范围及其可能的危害作出判断，以便对事件能及时、正确的进行处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园区应急监测协议单位为辽宁万世环境检测有限公司（联系方式：13941353380、18604131699），同时向辽宁省抚顺生态环境监测中心（联系方式：58289640、58289650）请求支援。同时周边企业石油二厂环保站（联系方式：</w:t>
      </w:r>
      <w:r>
        <w:rPr>
          <w:rFonts w:asciiTheme="minorEastAsia" w:hAnsiTheme="minorEastAsia" w:eastAsiaTheme="minorEastAsia"/>
          <w:color w:val="000000" w:themeColor="text1"/>
          <w14:textFill>
            <w14:solidFill>
              <w14:schemeClr w14:val="tx1"/>
            </w14:solidFill>
          </w14:textFill>
        </w:rPr>
        <w:t>52992111</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222072</w:t>
      </w:r>
      <w:r>
        <w:rPr>
          <w:rFonts w:hint="eastAsia" w:asciiTheme="minorEastAsia" w:hAnsiTheme="minorEastAsia" w:eastAsiaTheme="minorEastAsia"/>
          <w:color w:val="000000" w:themeColor="text1"/>
          <w14:textFill>
            <w14:solidFill>
              <w14:schemeClr w14:val="tx1"/>
            </w14:solidFill>
          </w14:textFill>
        </w:rPr>
        <w:t>）具有应急监测能力，可协助园区进行应急监测。</w:t>
      </w:r>
    </w:p>
    <w:p>
      <w:pPr>
        <w:pStyle w:val="5"/>
        <w:spacing w:before="0" w:beforeLines="0"/>
        <w:ind w:left="281" w:hanging="281"/>
        <w:rPr>
          <w:color w:val="000000" w:themeColor="text1"/>
          <w14:textFill>
            <w14:solidFill>
              <w14:schemeClr w14:val="tx1"/>
            </w14:solidFill>
          </w14:textFill>
        </w:rPr>
      </w:pPr>
      <w:bookmarkStart w:id="91" w:name="_Toc116110936"/>
      <w:r>
        <w:rPr>
          <w:rFonts w:hint="eastAsia"/>
          <w:color w:val="000000" w:themeColor="text1"/>
          <w14:textFill>
            <w14:solidFill>
              <w14:schemeClr w14:val="tx1"/>
            </w14:solidFill>
          </w14:textFill>
        </w:rPr>
        <w:t>5.4.1应急监测方案原则及要求</w:t>
      </w:r>
      <w:bookmarkEnd w:id="91"/>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（1）应急监测方案制订原则</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现场应急监测与实验室分析相结合，对不能现场进行快速测定的项目，现场采样后，应及时送实验室进行化验分析并保留原始样品；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定性与定量、快速与准确相结合；</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环境要素的优先顺序为：大气、地表水、土壤。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（2）现场监测布点原则</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若无风或微风，在事故点周围布点并逐步向内缩小；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若风速较大，在事故点下风向检测并逐步靠近事故地点。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（3）大气污染事故监测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监测点尽可能布设在事故发生地、厂区内人员聚集区域附近采样时需注意以下几点：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①</w:t>
      </w:r>
      <w:r>
        <w:rPr>
          <w:rFonts w:hint="eastAsia" w:asciiTheme="minorEastAsia" w:hAnsiTheme="minorEastAsia" w:eastAsiaTheme="minorEastAsia"/>
          <w:color w:val="000000" w:themeColor="text1"/>
          <w14:textFill>
            <w14:solidFill>
              <w14:schemeClr w14:val="tx1"/>
            </w14:solidFill>
          </w14:textFill>
        </w:rPr>
        <w:t xml:space="preserve">以事故发生地为中心，根据事故发生地的地理特点、气象状况以及其他自然地理条件，在事故发生地下风向（污染物漂移云团经过的路径）、掩体或低洼地等位置，按一定间隔扇形布点采样； </w:t>
      </w:r>
    </w:p>
    <w:p>
      <w:pPr>
        <w:spacing w:before="0" w:beforeLines="0"/>
        <w:ind w:left="480" w:firstLine="0" w:firstLineChars="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根据污染物的不同特性，在事故点的上风向适当位置布设对照点；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cs="宋体" w:asciiTheme="minorEastAsia" w:hAnsiTheme="minorEastAsia" w:eastAsiaTheme="minorEastAsia"/>
          <w:color w:val="000000" w:themeColor="text1"/>
          <w14:textFill>
            <w14:solidFill>
              <w14:schemeClr w14:val="tx1"/>
            </w14:solidFill>
          </w14:textFill>
        </w:rPr>
        <w:t>③</w:t>
      </w:r>
      <w:r>
        <w:rPr>
          <w:rFonts w:hint="eastAsia" w:asciiTheme="minorEastAsia" w:hAnsiTheme="minorEastAsia" w:eastAsiaTheme="minorEastAsia"/>
          <w:color w:val="000000" w:themeColor="text1"/>
          <w14:textFill>
            <w14:solidFill>
              <w14:schemeClr w14:val="tx1"/>
            </w14:solidFill>
          </w14:textFill>
        </w:rPr>
        <w:t>在事故发生地点设立采样点；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④</w:t>
      </w:r>
      <w:r>
        <w:rPr>
          <w:rFonts w:hint="eastAsia" w:asciiTheme="minorEastAsia" w:hAnsiTheme="minorEastAsia" w:eastAsiaTheme="minorEastAsia"/>
          <w:color w:val="000000" w:themeColor="text1"/>
          <w14:textFill>
            <w14:solidFill>
              <w14:schemeClr w14:val="tx1"/>
            </w14:solidFill>
          </w14:textFill>
        </w:rPr>
        <w:t>采样过程中应根据风向变化及时调整采样点位置，同时记录气温、气压、风向和风速等参数；</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⑤</w:t>
      </w:r>
      <w:r>
        <w:rPr>
          <w:rFonts w:hint="eastAsia" w:asciiTheme="minorEastAsia" w:hAnsiTheme="minorEastAsia" w:eastAsiaTheme="minorEastAsia"/>
          <w:color w:val="000000" w:themeColor="text1"/>
          <w14:textFill>
            <w14:solidFill>
              <w14:schemeClr w14:val="tx1"/>
            </w14:solidFill>
          </w14:textFill>
        </w:rPr>
        <w:t>利用便携式检测仪器快速监测污染物的种类和浓度，现场确定采样流量和采样时间；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⑥</w:t>
      </w:r>
      <w:r>
        <w:rPr>
          <w:rFonts w:hint="eastAsia" w:asciiTheme="minorEastAsia" w:hAnsiTheme="minorEastAsia" w:eastAsiaTheme="minorEastAsia"/>
          <w:color w:val="000000" w:themeColor="text1"/>
          <w14:textFill>
            <w14:solidFill>
              <w14:schemeClr w14:val="tx1"/>
            </w14:solidFill>
          </w14:textFill>
        </w:rPr>
        <w:t>对于应急监测用的采样器，应经常予以校正（如流量计、温度计、气压表），以避免情况紧急无法校正所产生的误差。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（4）地表水污染事故监测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发生水体污染事故时可能会对附近水域产生污染，地表水污染监测方案时要有一定的针对性：</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①</w:t>
      </w:r>
      <w:r>
        <w:rPr>
          <w:rFonts w:hint="eastAsia" w:asciiTheme="minorEastAsia" w:hAnsiTheme="minorEastAsia" w:eastAsiaTheme="minorEastAsia"/>
          <w:color w:val="000000" w:themeColor="text1"/>
          <w14:textFill>
            <w14:solidFill>
              <w14:schemeClr w14:val="tx1"/>
            </w14:solidFill>
          </w14:textFill>
        </w:rPr>
        <w:t>选择监测点位时，考虑水流方向、流速和现场气象条件等因素，采样器具应洁净并避免交叉污染；采样时应采集平行双样，一份提供现场快速测定，另一份现场加入保护剂，尽快送至实验室进行分析；</w:t>
      </w:r>
    </w:p>
    <w:p>
      <w:pPr>
        <w:spacing w:before="0" w:beforeLines="0"/>
        <w:ind w:firstLine="480" w:firstLineChars="0"/>
      </w:pPr>
      <w:r>
        <w:rPr>
          <w:rFonts w:hint="eastAsia" w:cs="宋体" w:asciiTheme="minorEastAsia" w:hAnsiTheme="minorEastAsia" w:eastAsiaTheme="minorEastAsia"/>
          <w:color w:val="000000" w:themeColor="text1"/>
          <w14:textFill>
            <w14:solidFill>
              <w14:schemeClr w14:val="tx1"/>
            </w14:solidFill>
          </w14:textFill>
        </w:rPr>
        <w:t>②</w:t>
      </w:r>
      <w:r>
        <w:rPr>
          <w:rFonts w:hint="eastAsia" w:asciiTheme="minorEastAsia" w:hAnsiTheme="minorEastAsia" w:eastAsiaTheme="minorEastAsia"/>
          <w:color w:val="000000" w:themeColor="text1"/>
          <w14:textFill>
            <w14:solidFill>
              <w14:schemeClr w14:val="tx1"/>
            </w14:solidFill>
          </w14:textFill>
        </w:rPr>
        <w:t>加强敏感区域水质的布点监测。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（5）土壤污染事故监测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①</w:t>
      </w:r>
      <w:r>
        <w:rPr>
          <w:rFonts w:hint="eastAsia" w:asciiTheme="minorEastAsia" w:hAnsiTheme="minorEastAsia" w:eastAsiaTheme="minorEastAsia"/>
          <w:color w:val="000000" w:themeColor="text1"/>
          <w14:textFill>
            <w14:solidFill>
              <w14:schemeClr w14:val="tx1"/>
            </w14:solidFill>
          </w14:textFill>
        </w:rPr>
        <w:t>以事故地点为中心，在事故发生地及其周围一定范围内区域按照一定间隔圆形布点采样，并根据污染物的特性在不同深度采样，同时采集未受污染区域的样品作为对照样品；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②</w:t>
      </w:r>
      <w:r>
        <w:rPr>
          <w:rFonts w:hint="eastAsia" w:asciiTheme="minorEastAsia" w:hAnsiTheme="minorEastAsia" w:eastAsiaTheme="minorEastAsia"/>
          <w:color w:val="000000" w:themeColor="text1"/>
          <w14:textFill>
            <w14:solidFill>
              <w14:schemeClr w14:val="tx1"/>
            </w14:solidFill>
          </w14:textFill>
        </w:rPr>
        <w:t>在相对开阔的污染区垂直采取深10cm的表层土，一般在10cm×10cm范围内，采用梅花形布点法或根据地形采用蛇形布点方法（采样点不少于5个）；</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cs="宋体" w:asciiTheme="minorEastAsia" w:hAnsiTheme="minorEastAsia" w:eastAsiaTheme="minorEastAsia"/>
          <w:color w:val="000000" w:themeColor="text1"/>
          <w14:textFill>
            <w14:solidFill>
              <w14:schemeClr w14:val="tx1"/>
            </w14:solidFill>
          </w14:textFill>
        </w:rPr>
        <w:t>③</w:t>
      </w:r>
      <w:r>
        <w:rPr>
          <w:rFonts w:hint="eastAsia" w:asciiTheme="minorEastAsia" w:hAnsiTheme="minorEastAsia" w:eastAsiaTheme="minorEastAsia"/>
          <w:color w:val="000000" w:themeColor="text1"/>
          <w14:textFill>
            <w14:solidFill>
              <w14:schemeClr w14:val="tx1"/>
            </w14:solidFill>
          </w14:textFill>
        </w:rPr>
        <w:t>将多点采集的土壤样品去除石块、草根等杂物，现场混合后取1-2kg样品装在塑料袋内密封。</w:t>
      </w:r>
    </w:p>
    <w:p>
      <w:pPr>
        <w:pStyle w:val="5"/>
        <w:spacing w:before="0" w:beforeLines="0"/>
        <w:ind w:left="281" w:hanging="281"/>
        <w:rPr>
          <w:color w:val="000000" w:themeColor="text1"/>
          <w14:textFill>
            <w14:solidFill>
              <w14:schemeClr w14:val="tx1"/>
            </w14:solidFill>
          </w14:textFill>
        </w:rPr>
      </w:pPr>
      <w:bookmarkStart w:id="92" w:name="_Toc116110937"/>
      <w:r>
        <w:rPr>
          <w:rFonts w:hint="eastAsia"/>
          <w:color w:val="000000" w:themeColor="text1"/>
          <w14:textFill>
            <w14:solidFill>
              <w14:schemeClr w14:val="tx1"/>
            </w14:solidFill>
          </w14:textFill>
        </w:rPr>
        <w:t>5.4.2点位布设、采样及样品的预处理</w:t>
      </w:r>
      <w:bookmarkEnd w:id="92"/>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（1）布点原则</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采样段面(点)的设置一般以环境污染事故发生地点及其附近为主，同时必须注重人群和生活环境，考虑饮用水源地、居民住宅区空气、农田土壤等区域的影响，合理设置参照点，以掌握污染发生地点状况、反映事故发生区域环境的污染程度和污染范围为目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对被环境污染事故所污染的地表水、大气和土壤均应设置对照断面（点）、控制断面（点），对地表水和地下水还应设置削减断面，尽可能以最少的断面（点）获取足够的有代表性的所需信息，同时需考虑采样的可行性和方便性。</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（2）布点采样方法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①对于大气环境污染事故</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尽可能在事故发生地就近采样，并以事故地点为中心，根据事故发生地的地理特点、风向以及其他自然条件，在事故发生地下风向（污染物漂移云团经过的路径）影响区域、掩体或低洼等位置，按一定间隔，如100m、200m、500m、1000m、1500m、3000m和5000m等处进行扇形布点采样，并根据污染物的特点在不同高度采样，同时在事故点的上风向适当位置布设对照点。在距事故发生地最近的工厂、生活区、村落或其他敏感区域应布点采样。采样过程中应注意风向的变化，及时调整采样点的位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②对于水环境污染事故</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A、监测点位以事故发生地为主，根据水流方向、扩散速度（或流速）和现场具体情况（如地形地貌等）进行布点采样，同时应测定流量。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B、对周边河流监测应在事故发生地、事故发生地的下游在100m、200m、500m、1000m、1500m处设若干点，同时在事故发生地的上游一定距离布设对照断面（点）。如河流流速很小或基本静止，可根据污染物的特性在不同水层采样。</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③</w:t>
      </w:r>
      <w:r>
        <w:rPr>
          <w:rFonts w:hint="eastAsia" w:asciiTheme="minorEastAsia" w:hAnsiTheme="minorEastAsia" w:eastAsiaTheme="minorEastAsia"/>
          <w:color w:val="000000" w:themeColor="text1"/>
          <w14:textFill>
            <w14:solidFill>
              <w14:schemeClr w14:val="tx1"/>
            </w14:solidFill>
          </w14:textFill>
        </w:rPr>
        <w:t>土壤环境污染事故</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对事故</w:t>
      </w:r>
      <w:r>
        <w:rPr>
          <w:rFonts w:asciiTheme="minorEastAsia" w:hAnsiTheme="minorEastAsia" w:eastAsiaTheme="minorEastAsia"/>
          <w:color w:val="000000" w:themeColor="text1"/>
          <w14:textFill>
            <w14:solidFill>
              <w14:schemeClr w14:val="tx1"/>
            </w14:solidFill>
          </w14:textFill>
        </w:rPr>
        <w:t>事发生地及地势低受影响</w:t>
      </w:r>
      <w:r>
        <w:rPr>
          <w:rFonts w:hint="eastAsia" w:asciiTheme="minorEastAsia" w:hAnsiTheme="minorEastAsia" w:eastAsiaTheme="minorEastAsia"/>
          <w:color w:val="000000" w:themeColor="text1"/>
          <w14:textFill>
            <w14:solidFill>
              <w14:schemeClr w14:val="tx1"/>
            </w14:solidFill>
          </w14:textFill>
        </w:rPr>
        <w:t>区域的土壤进行监测。采样应当以事故发生地为中心，根据不同的污染物质确定一定范围，然后在该范围内距事故发生地不同距离设置采样点，并根据污染物类型在不同的深度采样，另外采集未受污染区域的样品作为对照。</w:t>
      </w:r>
    </w:p>
    <w:p>
      <w:pPr>
        <w:pStyle w:val="5"/>
        <w:spacing w:before="0" w:beforeLines="0"/>
        <w:ind w:left="281" w:hanging="281"/>
        <w:rPr>
          <w:color w:val="000000" w:themeColor="text1"/>
          <w14:textFill>
            <w14:solidFill>
              <w14:schemeClr w14:val="tx1"/>
            </w14:solidFill>
          </w14:textFill>
        </w:rPr>
      </w:pPr>
      <w:bookmarkStart w:id="93" w:name="_Toc116110938"/>
      <w:r>
        <w:rPr>
          <w:rFonts w:hint="eastAsia"/>
          <w:color w:val="000000" w:themeColor="text1"/>
          <w14:textFill>
            <w14:solidFill>
              <w14:schemeClr w14:val="tx1"/>
            </w14:solidFill>
          </w14:textFill>
        </w:rPr>
        <w:t>5.4.3应急监测方案</w:t>
      </w:r>
      <w:bookmarkEnd w:id="93"/>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为了掌握事故发生后的污染程度、范围及变化趋势，需要实时进行连续的跟踪监测。应急监测全过程应在事发、事中和事后等不同阶段开展。针对不同事故情景制定的应急监测方案见表5.4-1。</w:t>
      </w:r>
    </w:p>
    <w:p>
      <w:pPr>
        <w:pStyle w:val="29"/>
        <w:spacing w:before="0" w:beforeLines="0" w:after="0" w:line="360" w:lineRule="auto"/>
        <w:ind w:left="480" w:firstLine="75" w:firstLineChars="36"/>
        <w:rPr>
          <w:rFonts w:asciiTheme="minorEastAsia" w:hAnsiTheme="minorEastAsia" w:eastAsiaTheme="minorEastAsia"/>
          <w:bCs/>
          <w:color w:val="000000" w:themeColor="text1"/>
          <w:sz w:val="21"/>
          <w:szCs w:val="21"/>
          <w14:textFill>
            <w14:solidFill>
              <w14:schemeClr w14:val="tx1"/>
            </w14:solidFill>
          </w14:textFill>
        </w:rPr>
      </w:pPr>
      <w:r>
        <w:rPr>
          <w:rFonts w:hint="eastAsia" w:asciiTheme="minorEastAsia" w:hAnsiTheme="minorEastAsia" w:eastAsiaTheme="minorEastAsia"/>
          <w:bCs/>
          <w:color w:val="000000" w:themeColor="text1"/>
          <w:sz w:val="21"/>
          <w:szCs w:val="21"/>
          <w14:textFill>
            <w14:solidFill>
              <w14:schemeClr w14:val="tx1"/>
            </w14:solidFill>
          </w14:textFill>
        </w:rPr>
        <w:t>表 5.4-1                    现场应急监测方案</w:t>
      </w:r>
    </w:p>
    <w:tbl>
      <w:tblPr>
        <w:tblStyle w:val="54"/>
        <w:tblW w:w="485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89"/>
        <w:gridCol w:w="2617"/>
        <w:gridCol w:w="1702"/>
        <w:gridCol w:w="29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w:t>
            </w:r>
          </w:p>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类型</w:t>
            </w:r>
          </w:p>
        </w:tc>
        <w:tc>
          <w:tcPr>
            <w:tcW w:w="1618" w:type="pc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监测因子</w:t>
            </w:r>
          </w:p>
        </w:tc>
        <w:tc>
          <w:tcPr>
            <w:tcW w:w="1052" w:type="pc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监测点位</w:t>
            </w:r>
          </w:p>
        </w:tc>
        <w:tc>
          <w:tcPr>
            <w:tcW w:w="1841" w:type="pc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应急监测频次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vMerge w:val="restar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olor w:val="000000" w:themeColor="text1"/>
                <w:kern w:val="0"/>
                <w:sz w:val="21"/>
                <w:szCs w:val="21"/>
                <w14:textFill>
                  <w14:solidFill>
                    <w14:schemeClr w14:val="tx1"/>
                  </w14:solidFill>
                </w14:textFill>
              </w:rPr>
              <w:t>大气</w:t>
            </w:r>
          </w:p>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olor w:val="000000" w:themeColor="text1"/>
                <w:kern w:val="0"/>
                <w:sz w:val="21"/>
                <w:szCs w:val="21"/>
                <w14:textFill>
                  <w14:solidFill>
                    <w14:schemeClr w14:val="tx1"/>
                  </w14:solidFill>
                </w14:textFill>
              </w:rPr>
              <w:t>环境</w:t>
            </w:r>
          </w:p>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污染</w:t>
            </w:r>
          </w:p>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w:t>
            </w:r>
          </w:p>
        </w:tc>
        <w:tc>
          <w:tcPr>
            <w:tcW w:w="1618" w:type="pct"/>
            <w:vMerge w:val="restart"/>
            <w:tcBorders>
              <w:tl2br w:val="nil"/>
              <w:tr2bl w:val="nil"/>
            </w:tcBorders>
            <w:vAlign w:val="center"/>
          </w:tcPr>
          <w:p>
            <w:pPr>
              <w:pStyle w:val="82"/>
              <w:spacing w:line="340" w:lineRule="exact"/>
              <w:ind w:left="120" w:leftChars="50" w:right="120" w:rightChars="50"/>
              <w:rPr>
                <w:rFonts w:asciiTheme="minorEastAsia" w:hAnsiTheme="minorEastAsia" w:eastAsiaTheme="minorEastAsia"/>
                <w:color w:val="000000" w:themeColor="text1"/>
                <w:kern w:val="0"/>
                <w14:textFill>
                  <w14:solidFill>
                    <w14:schemeClr w14:val="tx1"/>
                  </w14:solidFill>
                </w14:textFill>
              </w:rPr>
            </w:pPr>
            <w:r>
              <w:rPr>
                <w:rFonts w:asciiTheme="minorEastAsia" w:hAnsiTheme="minorEastAsia" w:eastAsiaTheme="minorEastAsia"/>
                <w:kern w:val="0"/>
              </w:rPr>
              <w:t>SO</w:t>
            </w:r>
            <w:r>
              <w:rPr>
                <w:rFonts w:asciiTheme="minorEastAsia" w:hAnsiTheme="minorEastAsia" w:eastAsiaTheme="minorEastAsia"/>
                <w:kern w:val="0"/>
                <w:vertAlign w:val="subscript"/>
              </w:rPr>
              <w:t>2</w:t>
            </w:r>
            <w:r>
              <w:rPr>
                <w:rFonts w:asciiTheme="minorEastAsia" w:hAnsiTheme="minorEastAsia" w:eastAsiaTheme="minorEastAsia"/>
                <w:kern w:val="0"/>
              </w:rPr>
              <w:t>、NO</w:t>
            </w:r>
            <w:r>
              <w:rPr>
                <w:rFonts w:asciiTheme="minorEastAsia" w:hAnsiTheme="minorEastAsia" w:eastAsiaTheme="minorEastAsia"/>
                <w:kern w:val="0"/>
                <w:vertAlign w:val="subscript"/>
              </w:rPr>
              <w:t>X</w:t>
            </w:r>
            <w:r>
              <w:rPr>
                <w:rFonts w:asciiTheme="minorEastAsia" w:hAnsiTheme="minorEastAsia" w:eastAsiaTheme="minorEastAsia"/>
                <w:kern w:val="0"/>
              </w:rPr>
              <w:t>、PM</w:t>
            </w:r>
            <w:r>
              <w:rPr>
                <w:rFonts w:asciiTheme="minorEastAsia" w:hAnsiTheme="minorEastAsia" w:eastAsiaTheme="minorEastAsia"/>
                <w:kern w:val="0"/>
                <w:vertAlign w:val="subscript"/>
              </w:rPr>
              <w:t>10</w:t>
            </w:r>
            <w:r>
              <w:rPr>
                <w:rFonts w:asciiTheme="minorEastAsia" w:hAnsiTheme="minorEastAsia" w:eastAsiaTheme="minorEastAsia"/>
                <w:kern w:val="0"/>
              </w:rPr>
              <w:t>、CO、氨气、硫化氢、非甲烷总烃</w:t>
            </w:r>
            <w:r>
              <w:rPr>
                <w:rFonts w:hint="eastAsia" w:asciiTheme="minorEastAsia" w:hAnsiTheme="minorEastAsia" w:eastAsiaTheme="minorEastAsia"/>
                <w:kern w:val="0"/>
              </w:rPr>
              <w:t>、</w:t>
            </w:r>
            <w:r>
              <w:rPr>
                <w:rFonts w:asciiTheme="minorEastAsia" w:hAnsiTheme="minorEastAsia" w:eastAsiaTheme="minorEastAsia"/>
                <w:kern w:val="0"/>
              </w:rPr>
              <w:t>苯系物</w:t>
            </w:r>
            <w:r>
              <w:rPr>
                <w:rFonts w:hint="eastAsia" w:asciiTheme="minorEastAsia" w:hAnsiTheme="minorEastAsia" w:eastAsiaTheme="minorEastAsia"/>
                <w:kern w:val="0"/>
              </w:rPr>
              <w:t>、TVOC、</w:t>
            </w:r>
            <w:r>
              <w:rPr>
                <w:rFonts w:asciiTheme="minorEastAsia" w:hAnsiTheme="minorEastAsia" w:eastAsiaTheme="minorEastAsia"/>
                <w:kern w:val="0"/>
              </w:rPr>
              <w:t>硫酸雾</w:t>
            </w: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初始加密（6 次/天）监测，随着污染物浓度的下降逐渐降低频次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vMerge w:val="continue"/>
            <w:tcBorders>
              <w:tl2br w:val="nil"/>
              <w:tr2bl w:val="nil"/>
            </w:tcBorders>
            <w:vAlign w:val="center"/>
          </w:tcPr>
          <w:p>
            <w:pPr>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618" w:type="pct"/>
            <w:vMerge w:val="continue"/>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事故发生地周围居民区等敏感区域</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初始加密（6 次/天）监测，随着污染物浓度的下降逐渐降低频次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vMerge w:val="continue"/>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618" w:type="pct"/>
            <w:vMerge w:val="continue"/>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事故发生地下风向</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4 次/天或与事故发生地同频次（应急期间）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vMerge w:val="continue"/>
            <w:tcBorders>
              <w:tl2br w:val="nil"/>
              <w:tr2bl w:val="nil"/>
            </w:tcBorders>
            <w:vAlign w:val="center"/>
          </w:tcPr>
          <w:p>
            <w:pPr>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618" w:type="pct"/>
            <w:vMerge w:val="continue"/>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事故发生地上风向对照点</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3 次/天（应急期间）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488" w:type="pct"/>
            <w:tcBorders>
              <w:tl2br w:val="nil"/>
              <w:tr2bl w:val="nil"/>
            </w:tcBorders>
            <w:vAlign w:val="center"/>
          </w:tcPr>
          <w:p>
            <w:pPr>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水环境污染事故</w:t>
            </w:r>
          </w:p>
        </w:tc>
        <w:tc>
          <w:tcPr>
            <w:tcW w:w="1618" w:type="pct"/>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kern w:val="0"/>
                <w:sz w:val="21"/>
                <w:szCs w:val="21"/>
              </w:rPr>
              <w:t>pH、</w:t>
            </w:r>
            <w:r>
              <w:rPr>
                <w:rFonts w:asciiTheme="minorEastAsia" w:hAnsiTheme="minorEastAsia" w:eastAsiaTheme="minorEastAsia"/>
                <w:color w:val="000000" w:themeColor="text1"/>
                <w:kern w:val="0"/>
                <w:sz w:val="21"/>
                <w:szCs w:val="21"/>
                <w14:textFill>
                  <w14:solidFill>
                    <w14:schemeClr w14:val="tx1"/>
                  </w14:solidFill>
                </w14:textFill>
              </w:rPr>
              <w:t>COD、BOD</w:t>
            </w:r>
            <w:r>
              <w:rPr>
                <w:rFonts w:hint="eastAsia" w:asciiTheme="minorEastAsia" w:hAnsiTheme="minorEastAsia" w:eastAsiaTheme="minorEastAsia"/>
                <w:color w:val="000000" w:themeColor="text1"/>
                <w:kern w:val="0"/>
                <w:sz w:val="21"/>
                <w:szCs w:val="21"/>
                <w:vertAlign w:val="subscript"/>
                <w14:textFill>
                  <w14:solidFill>
                    <w14:schemeClr w14:val="tx1"/>
                  </w14:solidFill>
                </w14:textFill>
              </w:rPr>
              <w:t>5</w:t>
            </w:r>
            <w:r>
              <w:rPr>
                <w:rFonts w:asciiTheme="minorEastAsia" w:hAnsiTheme="minorEastAsia" w:eastAsiaTheme="minorEastAsia"/>
                <w:color w:val="000000" w:themeColor="text1"/>
                <w:kern w:val="0"/>
                <w:sz w:val="21"/>
                <w:szCs w:val="21"/>
                <w14:textFill>
                  <w14:solidFill>
                    <w14:schemeClr w14:val="tx1"/>
                  </w14:solidFill>
                </w14:textFill>
              </w:rPr>
              <w:t>、</w:t>
            </w:r>
            <w:r>
              <w:rPr>
                <w:rFonts w:hint="eastAsia" w:asciiTheme="minorEastAsia" w:hAnsiTheme="minorEastAsia" w:eastAsiaTheme="minorEastAsia"/>
                <w:color w:val="000000" w:themeColor="text1"/>
                <w:kern w:val="0"/>
                <w:sz w:val="21"/>
                <w:szCs w:val="21"/>
                <w14:textFill>
                  <w14:solidFill>
                    <w14:schemeClr w14:val="tx1"/>
                  </w14:solidFill>
                </w14:textFill>
              </w:rPr>
              <w:t>SS、总磷、总氮、</w:t>
            </w:r>
            <w:r>
              <w:rPr>
                <w:rFonts w:asciiTheme="minorEastAsia" w:hAnsiTheme="minorEastAsia" w:eastAsiaTheme="minorEastAsia"/>
                <w:kern w:val="0"/>
                <w:sz w:val="21"/>
                <w:szCs w:val="21"/>
              </w:rPr>
              <w:t>汞</w:t>
            </w:r>
            <w:r>
              <w:rPr>
                <w:rFonts w:hint="eastAsia" w:asciiTheme="minorEastAsia" w:hAnsiTheme="minorEastAsia" w:eastAsiaTheme="minorEastAsia"/>
                <w:kern w:val="0"/>
                <w:sz w:val="21"/>
                <w:szCs w:val="21"/>
              </w:rPr>
              <w:t>、</w:t>
            </w:r>
            <w:r>
              <w:rPr>
                <w:rFonts w:asciiTheme="minorEastAsia" w:hAnsiTheme="minorEastAsia" w:eastAsiaTheme="minorEastAsia"/>
                <w:color w:val="000000" w:themeColor="text1"/>
                <w:kern w:val="0"/>
                <w:sz w:val="21"/>
                <w:szCs w:val="21"/>
                <w14:textFill>
                  <w14:solidFill>
                    <w14:schemeClr w14:val="tx1"/>
                  </w14:solidFill>
                </w14:textFill>
              </w:rPr>
              <w:t>石油类、</w:t>
            </w:r>
            <w:r>
              <w:rPr>
                <w:rFonts w:asciiTheme="minorEastAsia" w:hAnsiTheme="minorEastAsia" w:eastAsiaTheme="minorEastAsia"/>
                <w:kern w:val="0"/>
                <w:sz w:val="21"/>
                <w:szCs w:val="21"/>
              </w:rPr>
              <w:t>铬、汞、镉、砷、CN</w:t>
            </w:r>
            <w:r>
              <w:rPr>
                <w:rFonts w:hint="eastAsia" w:asciiTheme="minorEastAsia" w:hAnsiTheme="minorEastAsia" w:eastAsiaTheme="minorEastAsia"/>
                <w:kern w:val="0"/>
                <w:sz w:val="21"/>
                <w:szCs w:val="21"/>
                <w:vertAlign w:val="superscript"/>
              </w:rPr>
              <w:t>-</w:t>
            </w: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事故发生地河流及其下游</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初始加密（4 次/天）监测，随着污染物浓度的下降逐渐降低频次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0" w:hRule="atLeast"/>
          <w:jc w:val="center"/>
        </w:trPr>
        <w:tc>
          <w:tcPr>
            <w:tcW w:w="488" w:type="pct"/>
            <w:tcBorders>
              <w:tl2br w:val="nil"/>
              <w:tr2bl w:val="nil"/>
            </w:tcBorders>
            <w:vAlign w:val="center"/>
          </w:tcPr>
          <w:p>
            <w:pPr>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olor w:val="000000" w:themeColor="text1"/>
                <w:kern w:val="0"/>
                <w:sz w:val="21"/>
                <w:szCs w:val="21"/>
                <w14:textFill>
                  <w14:solidFill>
                    <w14:schemeClr w14:val="tx1"/>
                  </w14:solidFill>
                </w14:textFill>
              </w:rPr>
              <w:t>地下水环境污染事故</w:t>
            </w:r>
          </w:p>
        </w:tc>
        <w:tc>
          <w:tcPr>
            <w:tcW w:w="1618" w:type="pct"/>
            <w:tcBorders>
              <w:tl2br w:val="nil"/>
              <w:tr2bl w:val="nil"/>
            </w:tcBorders>
            <w:vAlign w:val="center"/>
          </w:tcPr>
          <w:p>
            <w:pPr>
              <w:spacing w:before="0" w:beforeLines="0" w:line="340" w:lineRule="exact"/>
              <w:ind w:left="120" w:leftChars="50" w:right="120" w:rightChars="50" w:firstLine="0" w:firstLineChars="0"/>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kern w:val="0"/>
                <w:sz w:val="21"/>
                <w:szCs w:val="21"/>
              </w:rPr>
              <w:t>pH 值、总硬度、溶解性总固体、高锰酸盐指数、硫酸盐、氯化物、氟化物、硝酸盐氮、氨氮、铁、镍、挥发酚、六价铬</w:t>
            </w:r>
            <w:r>
              <w:rPr>
                <w:rFonts w:hint="eastAsia" w:asciiTheme="minorEastAsia" w:hAnsiTheme="minorEastAsia" w:eastAsiaTheme="minorEastAsia"/>
                <w:kern w:val="0"/>
                <w:sz w:val="21"/>
                <w:szCs w:val="21"/>
              </w:rPr>
              <w:t>、石油类</w:t>
            </w:r>
            <w:r>
              <w:rPr>
                <w:rFonts w:asciiTheme="minorEastAsia" w:hAnsiTheme="minorEastAsia" w:eastAsiaTheme="minorEastAsia"/>
                <w:kern w:val="0"/>
                <w:sz w:val="21"/>
                <w:szCs w:val="21"/>
              </w:rPr>
              <w:t>等</w:t>
            </w:r>
          </w:p>
        </w:tc>
        <w:tc>
          <w:tcPr>
            <w:tcW w:w="1052" w:type="pct"/>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olor w:val="000000" w:themeColor="text1"/>
                <w:kern w:val="0"/>
                <w:sz w:val="21"/>
                <w:szCs w:val="21"/>
                <w14:textFill>
                  <w14:solidFill>
                    <w14:schemeClr w14:val="tx1"/>
                  </w14:solidFill>
                </w14:textFill>
              </w:rPr>
              <w:t>按照地下水流向</w:t>
            </w:r>
          </w:p>
        </w:tc>
        <w:tc>
          <w:tcPr>
            <w:tcW w:w="1841" w:type="pct"/>
            <w:tcBorders>
              <w:tl2br w:val="nil"/>
              <w:tr2bl w:val="nil"/>
            </w:tcBorders>
            <w:vAlign w:val="center"/>
          </w:tcPr>
          <w:p>
            <w:pPr>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1 次/天（应急期间）及应急事故过后评估 1 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2" w:hRule="atLeast"/>
          <w:jc w:val="center"/>
        </w:trPr>
        <w:tc>
          <w:tcPr>
            <w:tcW w:w="488" w:type="pct"/>
            <w:tcBorders>
              <w:tl2br w:val="nil"/>
              <w:tr2bl w:val="nil"/>
            </w:tcBorders>
            <w:vAlign w:val="center"/>
          </w:tcPr>
          <w:p>
            <w:pPr>
              <w:pStyle w:val="78"/>
              <w:spacing w:before="0" w:beforeLines="0" w:line="340" w:lineRule="exact"/>
              <w:ind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土壤环境事故污染</w:t>
            </w:r>
          </w:p>
        </w:tc>
        <w:tc>
          <w:tcPr>
            <w:tcW w:w="1618" w:type="pct"/>
            <w:tcBorders>
              <w:tl2br w:val="nil"/>
              <w:tr2bl w:val="nil"/>
            </w:tcBorders>
            <w:vAlign w:val="center"/>
          </w:tcPr>
          <w:p>
            <w:pPr>
              <w:pStyle w:val="82"/>
              <w:spacing w:line="340" w:lineRule="exact"/>
              <w:ind w:left="120" w:leftChars="50" w:right="120" w:rightChars="50"/>
              <w:rPr>
                <w:rFonts w:asciiTheme="minorEastAsia" w:hAnsiTheme="minorEastAsia" w:eastAsiaTheme="minorEastAsia"/>
                <w:color w:val="000000" w:themeColor="text1"/>
                <w:kern w:val="0"/>
                <w14:textFill>
                  <w14:solidFill>
                    <w14:schemeClr w14:val="tx1"/>
                  </w14:solidFill>
                </w14:textFill>
              </w:rPr>
            </w:pPr>
            <w:r>
              <w:rPr>
                <w:rFonts w:asciiTheme="minorEastAsia" w:hAnsiTheme="minorEastAsia" w:eastAsiaTheme="minorEastAsia"/>
                <w:kern w:val="0"/>
              </w:rPr>
              <w:t>pH值、石油烃、石油类</w:t>
            </w:r>
            <w:r>
              <w:rPr>
                <w:rFonts w:hint="eastAsia" w:asciiTheme="minorEastAsia" w:hAnsiTheme="minorEastAsia" w:eastAsiaTheme="minorEastAsia"/>
                <w:kern w:val="0"/>
              </w:rPr>
              <w:t>、</w:t>
            </w:r>
            <w:r>
              <w:rPr>
                <w:rFonts w:asciiTheme="minorEastAsia" w:hAnsiTheme="minorEastAsia" w:eastAsiaTheme="minorEastAsia"/>
                <w:kern w:val="0"/>
              </w:rPr>
              <w:t>总铜、总锌、总铅、总镍、总锰、六价铬、总砷</w:t>
            </w:r>
            <w:r>
              <w:rPr>
                <w:rFonts w:hint="eastAsia" w:asciiTheme="minorEastAsia" w:hAnsiTheme="minorEastAsia" w:eastAsiaTheme="minorEastAsia"/>
                <w:kern w:val="0"/>
              </w:rPr>
              <w:t>、</w:t>
            </w:r>
            <w:r>
              <w:rPr>
                <w:rFonts w:asciiTheme="minorEastAsia" w:hAnsiTheme="minorEastAsia" w:eastAsiaTheme="minorEastAsia"/>
                <w:kern w:val="0"/>
              </w:rPr>
              <w:t>汞</w:t>
            </w:r>
          </w:p>
        </w:tc>
        <w:tc>
          <w:tcPr>
            <w:tcW w:w="1052"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事故发生地及地势低受影响处</w:t>
            </w:r>
          </w:p>
        </w:tc>
        <w:tc>
          <w:tcPr>
            <w:tcW w:w="1841" w:type="pct"/>
            <w:tcBorders>
              <w:tl2br w:val="nil"/>
              <w:tr2bl w:val="nil"/>
            </w:tcBorders>
            <w:vAlign w:val="center"/>
          </w:tcPr>
          <w:p>
            <w:pPr>
              <w:pStyle w:val="78"/>
              <w:spacing w:before="0" w:beforeLines="0" w:line="340" w:lineRule="exact"/>
              <w:ind w:left="120" w:leftChars="50" w:right="120" w:rightChars="50" w:firstLine="0" w:firstLineChars="0"/>
              <w:jc w:val="center"/>
              <w:rPr>
                <w:rFonts w:asciiTheme="minorEastAsia" w:hAnsiTheme="minorEastAsia" w:eastAsiaTheme="minorEastAsia"/>
                <w:color w:val="000000" w:themeColor="text1"/>
                <w:kern w:val="0"/>
                <w:sz w:val="21"/>
                <w:szCs w:val="21"/>
                <w14:textFill>
                  <w14:solidFill>
                    <w14:schemeClr w14:val="tx1"/>
                  </w14:solidFill>
                </w14:textFill>
              </w:rPr>
            </w:pPr>
            <w:r>
              <w:rPr>
                <w:rFonts w:asciiTheme="minorEastAsia" w:hAnsiTheme="minorEastAsia" w:eastAsiaTheme="minorEastAsia"/>
                <w:color w:val="000000" w:themeColor="text1"/>
                <w:kern w:val="0"/>
                <w:sz w:val="21"/>
                <w:szCs w:val="21"/>
                <w14:textFill>
                  <w14:solidFill>
                    <w14:schemeClr w14:val="tx1"/>
                  </w14:solidFill>
                </w14:textFill>
              </w:rPr>
              <w:t>1 次/天（应急期间）及应急事故过后评估 1 次</w:t>
            </w:r>
          </w:p>
        </w:tc>
      </w:tr>
    </w:tbl>
    <w:p>
      <w:pPr>
        <w:pStyle w:val="5"/>
        <w:spacing w:before="0" w:beforeLines="0"/>
        <w:ind w:left="281" w:hanging="281"/>
        <w:rPr>
          <w:color w:val="000000" w:themeColor="text1"/>
          <w14:textFill>
            <w14:solidFill>
              <w14:schemeClr w14:val="tx1"/>
            </w14:solidFill>
          </w14:textFill>
        </w:rPr>
      </w:pPr>
      <w:bookmarkStart w:id="94" w:name="_Toc116110939"/>
      <w:r>
        <w:rPr>
          <w:rFonts w:hint="eastAsia"/>
          <w:color w:val="000000" w:themeColor="text1"/>
          <w14:textFill>
            <w14:solidFill>
              <w14:schemeClr w14:val="tx1"/>
            </w14:solidFill>
          </w14:textFill>
        </w:rPr>
        <w:t>5.4.4实验室仪器与器材</w:t>
      </w:r>
      <w:bookmarkEnd w:id="9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应急环境监测组应配备一些常用的检测仪器和试剂，如便携式检测仪器、风向风速仪等，通讯联络器材，交通车辆等，以配合环境监测专业人员的监测，为他们提供方便。</w:t>
      </w:r>
    </w:p>
    <w:p>
      <w:pPr>
        <w:pStyle w:val="5"/>
        <w:spacing w:before="0" w:beforeLines="0"/>
        <w:ind w:left="281" w:hanging="281"/>
        <w:rPr>
          <w:color w:val="000000" w:themeColor="text1"/>
          <w14:textFill>
            <w14:solidFill>
              <w14:schemeClr w14:val="tx1"/>
            </w14:solidFill>
          </w14:textFill>
        </w:rPr>
      </w:pPr>
      <w:bookmarkStart w:id="95" w:name="_Toc116110940"/>
      <w:r>
        <w:rPr>
          <w:rFonts w:hint="eastAsia"/>
          <w:color w:val="000000" w:themeColor="text1"/>
          <w14:textFill>
            <w14:solidFill>
              <w14:schemeClr w14:val="tx1"/>
            </w14:solidFill>
          </w14:textFill>
        </w:rPr>
        <w:t>5.4.5监测人员的安全防护措施</w:t>
      </w:r>
      <w:bookmarkEnd w:id="9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发生有毒有害、易燃易爆物质泄漏或火灾、爆炸时，应急人员必须按照相关规定佩戴符合救援要求的安全职业防护装备，严格按照救援程序开展应急救援工作，做好个人的安全防护工作，避免人身安全受到威胁。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个人防护措施如下：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1）呼吸系统防护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泄露毒物毒性大、浓度高于立即威胁生命和健康浓度（IDLH），或现场氧气体积百分比浓度低于18% 时，应采用便携式氧气呼吸器、便携式空气呼吸器、长管式空气呼吸器等供气式呼吸防护器。对于泄露环境中氧气体积百分比浓度高于18%，毒物浓度低于IDLH时，可以采用过滤式呼吸防护器。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2）皮肤和粘膜防护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存在刺激性、腐蚀性毒物的泄漏场所，应根据毒物的理化性质、现场浓度和侵入途径等情况选择相应级别和种类的防护服、防护眼罩、防护面罩、防护手套和防护靴等皮肤和粘膜防护装备。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3）防爆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进入存在和可能存在易燃易爆物质的场所，不得使用非防爆电器，不得使用手机和对讲机等。对应急监测人员需配备防爆型对讲机，确保通讯畅通。</w:t>
      </w:r>
    </w:p>
    <w:p>
      <w:pPr>
        <w:pStyle w:val="4"/>
        <w:spacing w:before="156"/>
        <w:ind w:left="301" w:hanging="301"/>
        <w:jc w:val="left"/>
        <w:rPr>
          <w:color w:val="000000" w:themeColor="text1"/>
          <w14:textFill>
            <w14:solidFill>
              <w14:schemeClr w14:val="tx1"/>
            </w14:solidFill>
          </w14:textFill>
        </w:rPr>
      </w:pPr>
      <w:bookmarkStart w:id="96" w:name="_Toc116110941"/>
      <w:r>
        <w:rPr>
          <w:rFonts w:hint="eastAsia"/>
          <w:color w:val="000000" w:themeColor="text1"/>
          <w14:textFill>
            <w14:solidFill>
              <w14:schemeClr w14:val="tx1"/>
            </w14:solidFill>
          </w14:textFill>
        </w:rPr>
        <w:t>5.5信息发布</w:t>
      </w:r>
      <w:bookmarkEnd w:id="9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事件的信息由负责现场指挥的环境应急指挥机构或高新区管委会，在事件发生的第一时间向公众统一发布，并根据事件处置情况做好后续发布工作。发布内容应准确、客观，正确引导舆论，维护社会稳定。任何单位或个人不得编造、传播未经核实或没有事实依据的信息和传言。</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对于较为复杂的事件可分阶段发布。</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对事件造成的直接经济损失数字的发布，应征求有关部门意见。涉及军队的新闻信息由军队有关部门审核后发布。</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涉外信息发布按有关规定执行。</w:t>
      </w:r>
    </w:p>
    <w:p>
      <w:pPr>
        <w:pStyle w:val="4"/>
        <w:spacing w:before="156"/>
        <w:ind w:left="301" w:hanging="301"/>
        <w:jc w:val="left"/>
        <w:rPr>
          <w:color w:val="000000" w:themeColor="text1"/>
          <w14:textFill>
            <w14:solidFill>
              <w14:schemeClr w14:val="tx1"/>
            </w14:solidFill>
          </w14:textFill>
        </w:rPr>
      </w:pPr>
      <w:bookmarkStart w:id="97" w:name="_Toc116110942"/>
      <w:r>
        <w:rPr>
          <w:rFonts w:hint="eastAsia"/>
          <w:color w:val="000000" w:themeColor="text1"/>
          <w14:textFill>
            <w14:solidFill>
              <w14:schemeClr w14:val="tx1"/>
            </w14:solidFill>
          </w14:textFill>
        </w:rPr>
        <w:t>5.6应急终止</w:t>
      </w:r>
      <w:bookmarkEnd w:id="97"/>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污染源和事件现场得到控制，事态发展条件已经消除时，由高新区环境应急指挥部宣布应急响应结束。应急结束后，突发环境应急指挥机构应根据实际情况，继续进行环境监测和评价工作，直至其他补救措施无需继续，转入常态管理为止。</w:t>
      </w:r>
    </w:p>
    <w:p>
      <w:pPr>
        <w:pStyle w:val="5"/>
        <w:spacing w:before="0" w:beforeLines="0"/>
        <w:ind w:left="281" w:hanging="281"/>
        <w:rPr>
          <w:color w:val="000000" w:themeColor="text1"/>
          <w14:textFill>
            <w14:solidFill>
              <w14:schemeClr w14:val="tx1"/>
            </w14:solidFill>
          </w14:textFill>
        </w:rPr>
      </w:pPr>
      <w:bookmarkStart w:id="98" w:name="_Toc116110943"/>
      <w:r>
        <w:rPr>
          <w:rFonts w:hint="eastAsia"/>
          <w:color w:val="000000" w:themeColor="text1"/>
          <w14:textFill>
            <w14:solidFill>
              <w14:schemeClr w14:val="tx1"/>
            </w14:solidFill>
          </w14:textFill>
        </w:rPr>
        <w:t>5.6.1应急终止的条件</w:t>
      </w:r>
      <w:bookmarkEnd w:id="98"/>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满足应急处置终止条件时，由应急处置现场指挥部向高新区突发环境事件应急指挥部提出应急处置工作终止建议，经批准后实施。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符合下列条件之一的，即满足应急处置终止条件：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（1）事件现场得到控制，事件条件已经消除；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（2）污染源的泄漏或释放已经降至规定限值以内；</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（3）事件造成的危害已经基本消除，无续发可能；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（4）事件现场的各种专业应急处置行动已经无继续的必要；</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（5）采取了一切必要的防护措施以保护公众免受再次危害，并使事件可能引起的中长期影响趋于合理且尽量低的水平。</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应急响应结束后，高新区应急救援指挥部、园区事件发生企业单位应配合各部门依据法定程序，开展事件责任调查、损失评估并作出结论。</w:t>
      </w:r>
    </w:p>
    <w:p>
      <w:pPr>
        <w:pStyle w:val="5"/>
        <w:spacing w:before="0" w:beforeLines="0"/>
        <w:ind w:left="281" w:hanging="281"/>
        <w:rPr>
          <w:color w:val="000000" w:themeColor="text1"/>
          <w14:textFill>
            <w14:solidFill>
              <w14:schemeClr w14:val="tx1"/>
            </w14:solidFill>
          </w14:textFill>
        </w:rPr>
      </w:pPr>
      <w:bookmarkStart w:id="99" w:name="_Toc116110944"/>
      <w:r>
        <w:rPr>
          <w:rFonts w:hint="eastAsia"/>
          <w:color w:val="000000" w:themeColor="text1"/>
          <w14:textFill>
            <w14:solidFill>
              <w14:schemeClr w14:val="tx1"/>
            </w14:solidFill>
          </w14:textFill>
        </w:rPr>
        <w:t>5.6.2应急终止的程序</w:t>
      </w:r>
      <w:bookmarkEnd w:id="9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（1）现场救援指挥部确认终止时机，或事件责任单位提出，经高新区环境应急指挥部（总指挥签署）批准；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（2）高新区环境应急指挥部向所属各专业应急救援队伍下达应急终止命令；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（3）应急状态终止后，应根据有关指示和实际情况，继续进行环境监测和评价工作。</w:t>
      </w:r>
    </w:p>
    <w:p>
      <w:pPr>
        <w:pStyle w:val="5"/>
        <w:spacing w:before="0" w:beforeLines="0"/>
        <w:ind w:left="281" w:hanging="281"/>
        <w:rPr>
          <w:color w:val="000000" w:themeColor="text1"/>
          <w14:textFill>
            <w14:solidFill>
              <w14:schemeClr w14:val="tx1"/>
            </w14:solidFill>
          </w14:textFill>
        </w:rPr>
      </w:pPr>
      <w:bookmarkStart w:id="100" w:name="_Toc116110945"/>
      <w:r>
        <w:rPr>
          <w:rFonts w:hint="eastAsia"/>
          <w:color w:val="000000" w:themeColor="text1"/>
          <w14:textFill>
            <w14:solidFill>
              <w14:schemeClr w14:val="tx1"/>
            </w14:solidFill>
          </w14:textFill>
        </w:rPr>
        <w:t>5.6.3应急终止跟踪监测和评估方案</w:t>
      </w:r>
      <w:bookmarkEnd w:id="10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1、应急跟踪监测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受影响区域要进行连续环境监测，并根据应急等级、受影响的区域和影响程度，制定相应的环境监测计划。监测计划应包括监测点位、监测频次、监测内容、监测方法、监测因子是否超标等内容，监测时段当地的气象条件等。做好监测记录，并在环境保护目标和环境敏感点附近增强监测点位和频次。事故后环境监测报告应及时上报给高新区应急指挥部，为高新区应急指挥部提供科学依据与决策。</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2、应急终止后的评估方案</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由高新区突发环境事件应急指挥部组织有关专家、技术人员实施应急终止后的评估方案。</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（1）评估的基本依据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①环境应急过程记录；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②现场各专业应急救援队伍的总结报告；</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③现场应急救援指挥部掌握的应急情况；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④环境应急救援行动的实际效果及产生的社会影响；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⑤公众的反映等。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（2）评估得出的主要结论应涵盖以下内容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①环境事件等级；</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②环境应急总任务及部分任务完成情况；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③是否符合保护公众、保护环境的总要求；</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④环境损害程度认定；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⑤采取的重要防护措施与方法是否得当；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⑥出动环境应急队伍的规模、仪器装备的使用、环境应急程度与速度是否与任务相适应；</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⑦环境应急处置中对利益与代价、风险、困难关系的处理是否科学合理；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⑧对事故造成的损失进行认定，明确本次事故的责任主体；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⑨发布的公告及公众信息的内容是否真实，时机是否得当，对公众心理产生了何种影响；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⑩成功或失败的典型事例。</w:t>
      </w:r>
    </w:p>
    <w:p>
      <w:pPr>
        <w:pStyle w:val="4"/>
        <w:spacing w:before="156"/>
        <w:ind w:left="301" w:hanging="301"/>
        <w:jc w:val="left"/>
        <w:rPr>
          <w:color w:val="000000" w:themeColor="text1"/>
          <w14:textFill>
            <w14:solidFill>
              <w14:schemeClr w14:val="tx1"/>
            </w14:solidFill>
          </w14:textFill>
        </w:rPr>
      </w:pPr>
      <w:bookmarkStart w:id="101" w:name="_Toc116110946"/>
      <w:r>
        <w:rPr>
          <w:rFonts w:hint="eastAsia"/>
          <w:color w:val="000000" w:themeColor="text1"/>
          <w14:textFill>
            <w14:solidFill>
              <w14:schemeClr w14:val="tx1"/>
            </w14:solidFill>
          </w14:textFill>
        </w:rPr>
        <w:t>5.7应急终止后的行动</w:t>
      </w:r>
      <w:bookmarkEnd w:id="101"/>
    </w:p>
    <w:p>
      <w:pPr>
        <w:pStyle w:val="5"/>
        <w:spacing w:before="0" w:beforeLines="0"/>
        <w:ind w:left="281" w:hanging="281"/>
        <w:rPr>
          <w:color w:val="000000" w:themeColor="text1"/>
          <w14:textFill>
            <w14:solidFill>
              <w14:schemeClr w14:val="tx1"/>
            </w14:solidFill>
          </w14:textFill>
        </w:rPr>
      </w:pPr>
      <w:bookmarkStart w:id="102" w:name="_Toc116110947"/>
      <w:r>
        <w:rPr>
          <w:rFonts w:hint="eastAsia"/>
          <w:color w:val="000000" w:themeColor="text1"/>
          <w14:textFill>
            <w14:solidFill>
              <w14:schemeClr w14:val="tx1"/>
            </w14:solidFill>
          </w14:textFill>
        </w:rPr>
        <w:t>5.7.1危险解除</w:t>
      </w:r>
      <w:bookmarkEnd w:id="102"/>
    </w:p>
    <w:p>
      <w:pPr>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当满足应急终止条件后，经高新区应急指挥部总指挥批准，通知园区内相关企业、社会关注区及人员事件危险已解除。</w:t>
      </w:r>
    </w:p>
    <w:p>
      <w:pPr>
        <w:pStyle w:val="5"/>
        <w:spacing w:before="0" w:beforeLines="0"/>
        <w:ind w:left="281" w:hanging="281"/>
        <w:rPr>
          <w:color w:val="000000" w:themeColor="text1"/>
          <w14:textFill>
            <w14:solidFill>
              <w14:schemeClr w14:val="tx1"/>
            </w14:solidFill>
          </w14:textFill>
        </w:rPr>
      </w:pPr>
      <w:bookmarkStart w:id="103" w:name="_Toc116110948"/>
      <w:r>
        <w:rPr>
          <w:rFonts w:hint="eastAsia"/>
          <w:color w:val="000000" w:themeColor="text1"/>
          <w14:textFill>
            <w14:solidFill>
              <w14:schemeClr w14:val="tx1"/>
            </w14:solidFill>
          </w14:textFill>
        </w:rPr>
        <w:t>5.7.2现场洗消</w:t>
      </w:r>
      <w:bookmarkEnd w:id="103"/>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目前现场净化多数采用化学消毒法、燃烧消毒法、物理消毒法等方法。现场净化的方式包括固定洗消、移动洗消等。</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场洗消主要是对人员、器材设备、化学事故发生区及染毒区进行洗消、消毒等。消洗后产生的废水应进行有效处理达到污水厂进网要求后，经污水管网送至园区污水处理厂处理，但事先必须从技术方案上征得污水处理厂同意后方可进行。</w:t>
      </w:r>
    </w:p>
    <w:p>
      <w:pPr>
        <w:pStyle w:val="5"/>
        <w:spacing w:before="0" w:beforeLines="0"/>
        <w:ind w:left="281" w:hanging="281"/>
        <w:rPr>
          <w:color w:val="000000" w:themeColor="text1"/>
          <w14:textFill>
            <w14:solidFill>
              <w14:schemeClr w14:val="tx1"/>
            </w14:solidFill>
          </w14:textFill>
        </w:rPr>
      </w:pPr>
      <w:bookmarkStart w:id="104" w:name="_Toc116110949"/>
      <w:r>
        <w:rPr>
          <w:rFonts w:hint="eastAsia"/>
          <w:color w:val="000000" w:themeColor="text1"/>
          <w14:textFill>
            <w14:solidFill>
              <w14:schemeClr w14:val="tx1"/>
            </w14:solidFill>
          </w14:textFill>
        </w:rPr>
        <w:t>5.7.3事故上报、移交</w:t>
      </w:r>
      <w:bookmarkEnd w:id="104"/>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园区突发环境应急事件终止后，应对应急事件进行上报，报告应包括但不限于以下内容：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（1）企业名称、发生时间、发生地点、部位、泄漏装置名称或介质名称、泄漏容器容积；</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（2）人员伤害（亡）情况以及初步损失估算、污染物的污染情况；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（3）事件简要情况，采取应急措施的主要经过；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（4）事件的初步责任认定。</w:t>
      </w:r>
    </w:p>
    <w:p>
      <w:pPr>
        <w:pStyle w:val="5"/>
        <w:spacing w:before="0" w:beforeLines="0"/>
        <w:ind w:left="281" w:hanging="281"/>
        <w:rPr>
          <w:color w:val="000000" w:themeColor="text1"/>
          <w14:textFill>
            <w14:solidFill>
              <w14:schemeClr w14:val="tx1"/>
            </w14:solidFill>
          </w14:textFill>
        </w:rPr>
      </w:pPr>
      <w:bookmarkStart w:id="105" w:name="_Toc116110950"/>
      <w:r>
        <w:rPr>
          <w:rFonts w:hint="eastAsia"/>
          <w:color w:val="000000" w:themeColor="text1"/>
          <w14:textFill>
            <w14:solidFill>
              <w14:schemeClr w14:val="tx1"/>
            </w14:solidFill>
          </w14:textFill>
        </w:rPr>
        <w:t>5.7.4事故调查与责任认定</w:t>
      </w:r>
      <w:bookmarkEnd w:id="10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1、事故调查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由高新区应急指挥部办公室牵头，会同生态环境、安监等部门和发生事故单位的人员组成事故调查小组。重大事故应由市政府或相关生态环境主管部门组织成立调查小组，调查事故发生原因和研究制定防范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（2）事故调查报告中要明确事故发生的时间、地点、起因、主要责任人和相关责任人及相关责任；明确事故发生后对环境的影响范围和影响程度大小；明确事故造环境影响是否造成人员伤亡及财产损失。</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按照事故调查小组的要求，现场应急救援指挥部和事故企业（单位）如实提供相关材料，积极协助事故调查小组对事故进行调查。事故调查小组对调查过程中发现的问题要及时汇总，并以书面的形式上报给高新区环境应急指挥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重大事故调查应依据有关规定分别由市或相关环境主管部门组织实施。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事故处理工作结束后，现场应急救援指挥部分析总结急救援经验教训，提出改进应急救援工作的建议，完成应急救援总结报告并及时上报。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2、环境损害评估</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依据《突发环境事件应急处置阶段污染损害评估工作程序规定》（环发【2013】85号），生态环境、安监部门对突发环境事件应急处置阶段污染损害程度进行评估，评估工作流程如下：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（1）高新区管理委员会应当在突发环境事件发生后及时开展污染损害评估前期工作，并在应急处置工作结束后及时制定评估工作方案，组织开展污染损害评估工作。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（2）高新区管理委员会可以委托有关司法鉴定机构或环境污染损害鉴定评估机构开展污染损害评估工作，编制评估报告，并组织专家对评估报告进行技术审核。</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（3）污染损害评估应当于应急处置工作结束后30个工作日内完成。情况特别复杂的，经市级环境保护主管部门批准，可以延长30个工作日。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（4）组织开展污染损害评估的生态环境主管部门于评估报告技术审核通过后20个工作日内，将评估报告报送同级人民政府和上一级生态环境主管部门，并将评估结论向社会公开。</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3、事故责任认定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按照相关法律、法规及有关规定，对有关责任人员视情节和危害后果，由其所在单位或者上级机关给予行政处分；属于违反治安管理行为的，由公安机关依照有关法律法规的规定予以处罚；构成犯罪的，由司法机关依法追究刑事责任。</w:t>
      </w:r>
    </w:p>
    <w:p>
      <w:pPr>
        <w:pStyle w:val="5"/>
        <w:spacing w:before="0" w:beforeLines="0"/>
        <w:ind w:left="281" w:hanging="281"/>
        <w:rPr>
          <w:color w:val="000000" w:themeColor="text1"/>
          <w14:textFill>
            <w14:solidFill>
              <w14:schemeClr w14:val="tx1"/>
            </w14:solidFill>
          </w14:textFill>
        </w:rPr>
      </w:pPr>
      <w:bookmarkStart w:id="106" w:name="_Toc116110951"/>
      <w:r>
        <w:rPr>
          <w:rFonts w:hint="eastAsia"/>
          <w:color w:val="000000" w:themeColor="text1"/>
          <w14:textFill>
            <w14:solidFill>
              <w14:schemeClr w14:val="tx1"/>
            </w14:solidFill>
          </w14:textFill>
        </w:rPr>
        <w:t>5.7.5应急总结</w:t>
      </w:r>
      <w:bookmarkEnd w:id="106"/>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应急终止后，根据园区应急预案的分工，相关职能部门负责编写应急总结报告，应包括但不少于以下内容：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（1）事件情况，包括事件发生时间、地点、波及范围、损失、人员伤亡情况、事件发生初步原因；</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（2）应急处置过程；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（3）处置过程中动用的应急资源；</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（4）对应急过程进行评价，分析总结应急救援经验教训；</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（5）要明确应急过程中发现的不足和需要完善的地方，并提出修订意见。</w:t>
      </w:r>
    </w:p>
    <w:p>
      <w:pPr>
        <w:pStyle w:val="5"/>
        <w:spacing w:before="0" w:beforeLines="0"/>
        <w:ind w:left="281" w:hanging="281"/>
        <w:rPr>
          <w:color w:val="000000" w:themeColor="text1"/>
          <w14:textFill>
            <w14:solidFill>
              <w14:schemeClr w14:val="tx1"/>
            </w14:solidFill>
          </w14:textFill>
        </w:rPr>
      </w:pPr>
      <w:bookmarkStart w:id="107" w:name="_Toc116110952"/>
      <w:r>
        <w:rPr>
          <w:rFonts w:hint="eastAsia"/>
          <w:color w:val="000000" w:themeColor="text1"/>
          <w14:textFill>
            <w14:solidFill>
              <w14:schemeClr w14:val="tx1"/>
            </w14:solidFill>
          </w14:textFill>
        </w:rPr>
        <w:t>5.7.6应急维护、保养</w:t>
      </w:r>
      <w:bookmarkEnd w:id="107"/>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应急事故发生后，在应急维护和保养方面应做好以下几点：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（1）环境应急队伍休整；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（2）检查应急设备损坏情况，包括损坏仪器设备的数量、程度、是否可以维修；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（3）应急材料的消耗情况，包括消耗的种类、数量；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（4）应急仪器设备的保养等。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根据调查的结果做及时总结，做好总结记录和上报工作，对应急物资、设备等及时补充、维修。</w:t>
      </w:r>
    </w:p>
    <w:p>
      <w:pPr>
        <w:pStyle w:val="5"/>
        <w:spacing w:before="0" w:beforeLines="0"/>
        <w:ind w:left="281" w:hanging="281"/>
        <w:rPr>
          <w:color w:val="000000" w:themeColor="text1"/>
          <w14:textFill>
            <w14:solidFill>
              <w14:schemeClr w14:val="tx1"/>
            </w14:solidFill>
          </w14:textFill>
        </w:rPr>
      </w:pPr>
      <w:bookmarkStart w:id="108" w:name="_Toc116110953"/>
      <w:r>
        <w:rPr>
          <w:rFonts w:hint="eastAsia"/>
          <w:color w:val="000000" w:themeColor="text1"/>
          <w14:textFill>
            <w14:solidFill>
              <w14:schemeClr w14:val="tx1"/>
            </w14:solidFill>
          </w14:textFill>
        </w:rPr>
        <w:t>5.7.7应急预案修订</w:t>
      </w:r>
      <w:bookmarkEnd w:id="108"/>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对应急过程中发现的问题及时进行汇总、总结，根据总结后的结论对原先预案中存在的问题进行修订完善，并组织专家评审，上报相关领导审批后颁布实施。</w:t>
      </w:r>
    </w:p>
    <w:p>
      <w:pPr>
        <w:pStyle w:val="3"/>
        <w:spacing w:before="156"/>
        <w:ind w:left="321" w:hanging="321"/>
        <w:rPr>
          <w:color w:val="000000" w:themeColor="text1"/>
          <w14:textFill>
            <w14:solidFill>
              <w14:schemeClr w14:val="tx1"/>
            </w14:solidFill>
          </w14:textFill>
        </w:rPr>
      </w:pPr>
      <w:bookmarkStart w:id="109" w:name="_Toc116110954"/>
      <w:r>
        <w:rPr>
          <w:color w:val="000000" w:themeColor="text1"/>
          <w14:textFill>
            <w14:solidFill>
              <w14:schemeClr w14:val="tx1"/>
            </w14:solidFill>
          </w14:textFill>
        </w:rPr>
        <w:t>6</w:t>
      </w:r>
      <w:r>
        <w:rPr>
          <w:rFonts w:hint="eastAsia"/>
          <w:color w:val="000000" w:themeColor="text1"/>
          <w14:textFill>
            <w14:solidFill>
              <w14:schemeClr w14:val="tx1"/>
            </w14:solidFill>
          </w14:textFill>
        </w:rPr>
        <w:t>后期处置</w:t>
      </w:r>
      <w:bookmarkEnd w:id="10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事故单位应协助高新区管委会和东洲区人民政府做好受灾人员的安置工作，对火灾、爆炸、有毒物质泄漏扩散等危险化学品事故的应急处理现场设置洗消站，对应急处置过程中收集的泄漏物、消防废水等进行集中处理，对应急处置人员用过的器具进行洗消。出资对损坏的设备、仪表、管线等进行维修，积极开展灾后重建工作。对抢险救援人员进行健康监护或体检，积极对事故过程中的死伤人员进行医院治疗或发放抚恤金。</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视应急事件处置需要，由民政、监察、环保、安监、卫生、公安、水利等部门（单位）组成善后工作组，对突发环境事件造成伤亡的人员及时进行医疗救助或按规定给予抚恤，对造成生产生活困难的群众进行妥善安置，高度重视和及时采取心理咨询、慰问等有效措施，努力消除突发环境事件给人们造成的精神创伤。对紧急调集、征用的人力物力按规定给予补偿。高新区管委会等有关部门按规定及时下达救助资金和物资，民政部门应严格管理社会救助资金和物资，监察、财政等部门应加强监督力度，确保政府、社会救助资金和物资的公开、公正和合理使用。保险企业快速介入，及时做好理赔工作。</w:t>
      </w:r>
    </w:p>
    <w:p>
      <w:pPr>
        <w:pStyle w:val="4"/>
        <w:keepNext/>
        <w:keepLines/>
        <w:pageBreakBefore w:val="0"/>
        <w:widowControl w:val="0"/>
        <w:kinsoku/>
        <w:wordWrap/>
        <w:overflowPunct/>
        <w:topLinePunct w:val="0"/>
        <w:autoSpaceDE/>
        <w:autoSpaceDN/>
        <w:bidi w:val="0"/>
        <w:adjustRightInd/>
        <w:snapToGrid/>
        <w:spacing w:before="20"/>
        <w:ind w:left="0" w:hanging="301"/>
        <w:textAlignment w:val="auto"/>
        <w:rPr>
          <w:color w:val="000000" w:themeColor="text1"/>
          <w14:textFill>
            <w14:solidFill>
              <w14:schemeClr w14:val="tx1"/>
            </w14:solidFill>
          </w14:textFill>
        </w:rPr>
      </w:pPr>
      <w:bookmarkStart w:id="110" w:name="_Toc116110955"/>
      <w:r>
        <w:rPr>
          <w:color w:val="000000" w:themeColor="text1"/>
          <w14:textFill>
            <w14:solidFill>
              <w14:schemeClr w14:val="tx1"/>
            </w14:solidFill>
          </w14:textFill>
        </w:rPr>
        <w:t>6</w:t>
      </w:r>
      <w:r>
        <w:rPr>
          <w:rFonts w:hint="eastAsia"/>
          <w:color w:val="000000" w:themeColor="text1"/>
          <w14:textFill>
            <w14:solidFill>
              <w14:schemeClr w14:val="tx1"/>
            </w14:solidFill>
          </w14:textFill>
        </w:rPr>
        <w:t>.1调查评估</w:t>
      </w:r>
      <w:bookmarkEnd w:id="11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事故的调查应在事故抢险结束后7天内开始，调查时间不超过30天，事故调查结束后，应根据要求完成事故调查报告。一般和较大突发环境事件的调查评估，由应急指挥部办公室负责实施；重大以上突发环境事件的调查评估，由市应急指挥部办公室负责实施。或委托环境损害评估机构或有能力进行损害评估的单位，开展环境损害调查，评估事件造成的损害和影响，对生态修复和恢复重建等提出建议。调查评估工作应客观、公正、全面，并编写调查评估报告。调查评估报告应包括以下主要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（1）环境事件的等级、发生原因及造成的影响；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（2）环境应急任务完成情况；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（3）是否符合保护公众、保护环境的总体要求；</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（4）采取的主要防护措施与方法是否得当；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（5）环境应急组织各小组的出动、仪器装备的使用、应急物资的调配是否与任务相适应；</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（6）事件造成的直接和间接影响；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避免或减轻此类事件的意见和建议，以及需要得出的其他结论等。突发环境应急事件处理结束后，应急组织对抢险过程、应急能力等进行总结评估，找出应急预案及抢险过程存在的不足，加强应急管理并对应急预案进行及时修订。</w:t>
      </w:r>
    </w:p>
    <w:p>
      <w:pPr>
        <w:pStyle w:val="4"/>
        <w:spacing w:before="156"/>
        <w:ind w:left="301" w:hanging="301"/>
        <w:rPr>
          <w:color w:val="000000" w:themeColor="text1"/>
          <w14:textFill>
            <w14:solidFill>
              <w14:schemeClr w14:val="tx1"/>
            </w14:solidFill>
          </w14:textFill>
        </w:rPr>
      </w:pPr>
      <w:bookmarkStart w:id="111" w:name="_Toc116110956"/>
      <w:r>
        <w:rPr>
          <w:color w:val="000000" w:themeColor="text1"/>
          <w14:textFill>
            <w14:solidFill>
              <w14:schemeClr w14:val="tx1"/>
            </w14:solidFill>
          </w14:textFill>
        </w:rPr>
        <w:t>6</w:t>
      </w:r>
      <w:r>
        <w:rPr>
          <w:rFonts w:hint="eastAsia"/>
          <w:color w:val="000000" w:themeColor="text1"/>
          <w14:textFill>
            <w14:solidFill>
              <w14:schemeClr w14:val="tx1"/>
            </w14:solidFill>
          </w14:textFill>
        </w:rPr>
        <w:t>.2责任追究</w:t>
      </w:r>
      <w:bookmarkEnd w:id="11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事件的责任调查处理工作由高新区应急指挥部或高新区管委会及时开展。对较大以上的突发环境事件或市指挥部认为有需要的，由市指挥部负责调查处理。对生产经营单位、相关行政管理部门和应急救援队伍在应急过程中的履职情况进行调查，发现违纪行为的，按照规定处理。发现违法行为的，移送司法机关，依法追究责任。</w:t>
      </w:r>
    </w:p>
    <w:p>
      <w:pPr>
        <w:pStyle w:val="4"/>
        <w:spacing w:before="156"/>
        <w:ind w:left="301" w:hanging="301"/>
        <w:rPr>
          <w:color w:val="000000" w:themeColor="text1"/>
          <w14:textFill>
            <w14:solidFill>
              <w14:schemeClr w14:val="tx1"/>
            </w14:solidFill>
          </w14:textFill>
        </w:rPr>
      </w:pPr>
      <w:bookmarkStart w:id="112" w:name="_Toc116110957"/>
      <w:r>
        <w:rPr>
          <w:color w:val="000000" w:themeColor="text1"/>
          <w14:textFill>
            <w14:solidFill>
              <w14:schemeClr w14:val="tx1"/>
            </w14:solidFill>
          </w14:textFill>
        </w:rPr>
        <w:t>6</w:t>
      </w:r>
      <w:r>
        <w:rPr>
          <w:rFonts w:hint="eastAsia"/>
          <w:color w:val="000000" w:themeColor="text1"/>
          <w14:textFill>
            <w14:solidFill>
              <w14:schemeClr w14:val="tx1"/>
            </w14:solidFill>
          </w14:textFill>
        </w:rPr>
        <w:t>.3善后处置</w:t>
      </w:r>
      <w:bookmarkEnd w:id="11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善后处置包括人员安置补偿、征用物资补偿、次生污染物清理和安全处置、应急过程中产生的劳务和设备租赁费用清算、污染造成的直接和间接经济损失赔偿以及受污染和破坏的生态环境恢复等事项。</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善后处置工作由高新区管委会负责，其中次生污染物清理和安全处置、受污染和破坏的生态环境恢复须制定工作方案，特别是突发环境事件造成土壤污染的，在生态修复方案中须调查评估土壤污染的程度和范围，确保所有受污染的土壤清理彻底，防止污染扩散。生态修复方案由市生态环境局审核并监督实施。善后处置费用由造成该事件的生产经营单位承担，按照属地负责原则，不足部分由高新区管委会承担。</w:t>
      </w:r>
    </w:p>
    <w:p>
      <w:pPr>
        <w:pStyle w:val="5"/>
        <w:spacing w:before="0" w:beforeLines="0"/>
        <w:ind w:left="281" w:hanging="281"/>
        <w:rPr>
          <w:color w:val="000000" w:themeColor="text1"/>
          <w14:textFill>
            <w14:solidFill>
              <w14:schemeClr w14:val="tx1"/>
            </w14:solidFill>
          </w14:textFill>
        </w:rPr>
      </w:pPr>
      <w:bookmarkStart w:id="113" w:name="_Toc116110958"/>
      <w:r>
        <w:rPr>
          <w:color w:val="000000" w:themeColor="text1"/>
          <w14:textFill>
            <w14:solidFill>
              <w14:schemeClr w14:val="tx1"/>
            </w14:solidFill>
          </w14:textFill>
        </w:rPr>
        <w:t>6</w:t>
      </w:r>
      <w:r>
        <w:rPr>
          <w:rFonts w:hint="eastAsia"/>
          <w:color w:val="000000" w:themeColor="text1"/>
          <w14:textFill>
            <w14:solidFill>
              <w14:schemeClr w14:val="tx1"/>
            </w14:solidFill>
          </w14:textFill>
        </w:rPr>
        <w:t>.3.1人员安置</w:t>
      </w:r>
      <w:bookmarkEnd w:id="113"/>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（1）对在事故中受灾企业和人群由高新区管理委员会结合实际情况作出受灾人群的居住饮食等安排，落实救灾物资发放，做好探望和慰问工作。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（2）对于事故中受到伤害的人员及时送就近或者对口的医院进行治疗，确保人生安全，并由高新区管委会安排专人进行跟踪监护和慰问。</w:t>
      </w:r>
    </w:p>
    <w:p>
      <w:pPr>
        <w:pStyle w:val="5"/>
        <w:spacing w:before="0" w:beforeLines="0"/>
        <w:ind w:left="281" w:hanging="281"/>
        <w:rPr>
          <w:color w:val="000000" w:themeColor="text1"/>
          <w14:textFill>
            <w14:solidFill>
              <w14:schemeClr w14:val="tx1"/>
            </w14:solidFill>
          </w14:textFill>
        </w:rPr>
      </w:pPr>
      <w:bookmarkStart w:id="114" w:name="_Toc116110959"/>
      <w:r>
        <w:rPr>
          <w:color w:val="000000" w:themeColor="text1"/>
          <w14:textFill>
            <w14:solidFill>
              <w14:schemeClr w14:val="tx1"/>
            </w14:solidFill>
          </w14:textFill>
        </w:rPr>
        <w:t>6</w:t>
      </w:r>
      <w:r>
        <w:rPr>
          <w:rFonts w:hint="eastAsia"/>
          <w:color w:val="000000" w:themeColor="text1"/>
          <w14:textFill>
            <w14:solidFill>
              <w14:schemeClr w14:val="tx1"/>
            </w14:solidFill>
          </w14:textFill>
        </w:rPr>
        <w:t>.3.2事故损失核算与补偿工作</w:t>
      </w:r>
      <w:bookmarkEnd w:id="11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于造成大面积区域污染的事故，经生态环境部门和物价部门核定补偿资金报请高新区管理委员会，结合实际情况对受污染区域的单位、个人作出相应的补偿。涉及园区外的事故损失补偿工作由市政府及相关部门核算，高新区管委会进行补偿。</w:t>
      </w:r>
    </w:p>
    <w:p>
      <w:pPr>
        <w:pStyle w:val="5"/>
        <w:spacing w:before="0" w:beforeLines="0"/>
        <w:ind w:left="281" w:hanging="281"/>
        <w:rPr>
          <w:color w:val="000000" w:themeColor="text1"/>
          <w14:textFill>
            <w14:solidFill>
              <w14:schemeClr w14:val="tx1"/>
            </w14:solidFill>
          </w14:textFill>
        </w:rPr>
      </w:pPr>
      <w:bookmarkStart w:id="115" w:name="_Toc116110960"/>
      <w:r>
        <w:rPr>
          <w:color w:val="000000" w:themeColor="text1"/>
          <w14:textFill>
            <w14:solidFill>
              <w14:schemeClr w14:val="tx1"/>
            </w14:solidFill>
          </w14:textFill>
        </w:rPr>
        <w:t>6</w:t>
      </w:r>
      <w:r>
        <w:rPr>
          <w:rFonts w:hint="eastAsia"/>
          <w:color w:val="000000" w:themeColor="text1"/>
          <w14:textFill>
            <w14:solidFill>
              <w14:schemeClr w14:val="tx1"/>
            </w14:solidFill>
          </w14:textFill>
        </w:rPr>
        <w:t>.3.3长期环境影响评估</w:t>
      </w:r>
      <w:bookmarkEnd w:id="115"/>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事故过后，高新区管理委员会组织协议监测协议单位或配合区、市生态环境主管部门制定监测计划，对事故造成的影响进行长期环境影响评估。</w:t>
      </w:r>
    </w:p>
    <w:p>
      <w:pPr>
        <w:pStyle w:val="5"/>
        <w:spacing w:before="0" w:beforeLines="0"/>
        <w:ind w:left="281" w:hanging="281"/>
        <w:rPr>
          <w:color w:val="000000" w:themeColor="text1"/>
          <w14:textFill>
            <w14:solidFill>
              <w14:schemeClr w14:val="tx1"/>
            </w14:solidFill>
          </w14:textFill>
        </w:rPr>
      </w:pPr>
      <w:bookmarkStart w:id="116" w:name="_Toc116110961"/>
      <w:r>
        <w:rPr>
          <w:color w:val="000000" w:themeColor="text1"/>
          <w14:textFill>
            <w14:solidFill>
              <w14:schemeClr w14:val="tx1"/>
            </w14:solidFill>
          </w14:textFill>
        </w:rPr>
        <w:t>6</w:t>
      </w:r>
      <w:r>
        <w:rPr>
          <w:rFonts w:hint="eastAsia"/>
          <w:color w:val="000000" w:themeColor="text1"/>
          <w14:textFill>
            <w14:solidFill>
              <w14:schemeClr w14:val="tx1"/>
            </w14:solidFill>
          </w14:textFill>
        </w:rPr>
        <w:t>.3.4生态环境补偿工作</w:t>
      </w:r>
      <w:bookmarkEnd w:id="11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态修复应根据突发环境事件对环境造成的污染分析结论，结合园区目前的实际情况，对重大的生态环境问题采取积极的应对措施，努力减少对区域内生产、生活的危害和影响，并组织专家对突发环境事件中长期环境影响进行评估，提出补偿和对遭受污染的生态环境进行恢复的建议。</w:t>
      </w:r>
    </w:p>
    <w:p>
      <w:pPr>
        <w:pStyle w:val="5"/>
        <w:spacing w:before="0" w:beforeLines="0"/>
        <w:ind w:left="281" w:hanging="281"/>
        <w:rPr>
          <w:color w:val="000000" w:themeColor="text1"/>
          <w14:textFill>
            <w14:solidFill>
              <w14:schemeClr w14:val="tx1"/>
            </w14:solidFill>
          </w14:textFill>
        </w:rPr>
      </w:pPr>
      <w:bookmarkStart w:id="117" w:name="_Toc116110962"/>
      <w:r>
        <w:rPr>
          <w:color w:val="000000" w:themeColor="text1"/>
          <w14:textFill>
            <w14:solidFill>
              <w14:schemeClr w14:val="tx1"/>
            </w14:solidFill>
          </w14:textFill>
        </w:rPr>
        <w:t>6</w:t>
      </w:r>
      <w:r>
        <w:rPr>
          <w:rFonts w:hint="eastAsia"/>
          <w:color w:val="000000" w:themeColor="text1"/>
          <w14:textFill>
            <w14:solidFill>
              <w14:schemeClr w14:val="tx1"/>
            </w14:solidFill>
          </w14:textFill>
        </w:rPr>
        <w:t>.3.5现场清洁净化和环境恢复</w:t>
      </w:r>
      <w:bookmarkEnd w:id="117"/>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制定现场清洁净化、污染控制和环境恢复工作需要的设备工具和物资清单；制定事故后对现场受污染设备的清洁净化的方法和程序；以及在应急终止后，对受污染环境进行恢复的方法和程序。内容包括：</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（1）事故现场的保护措施；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（2）确定现场净化的方式、方法；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（3）明确事故现场洗消工作的负责人和专业队伍；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（4）事故后的生态环境恢复措施。</w:t>
      </w:r>
    </w:p>
    <w:p>
      <w:pPr>
        <w:pStyle w:val="4"/>
        <w:spacing w:before="156"/>
        <w:ind w:left="301" w:hanging="301"/>
        <w:rPr>
          <w:color w:val="000000" w:themeColor="text1"/>
          <w14:textFill>
            <w14:solidFill>
              <w14:schemeClr w14:val="tx1"/>
            </w14:solidFill>
          </w14:textFill>
        </w:rPr>
      </w:pPr>
      <w:bookmarkStart w:id="118" w:name="_Toc116110963"/>
      <w:r>
        <w:rPr>
          <w:color w:val="000000" w:themeColor="text1"/>
          <w14:textFill>
            <w14:solidFill>
              <w14:schemeClr w14:val="tx1"/>
            </w14:solidFill>
          </w14:textFill>
        </w:rPr>
        <w:t>6</w:t>
      </w:r>
      <w:r>
        <w:rPr>
          <w:rFonts w:hint="eastAsia"/>
          <w:color w:val="000000" w:themeColor="text1"/>
          <w14:textFill>
            <w14:solidFill>
              <w14:schemeClr w14:val="tx1"/>
            </w14:solidFill>
          </w14:textFill>
        </w:rPr>
        <w:t>.4恢复重建</w:t>
      </w:r>
      <w:bookmarkEnd w:id="118"/>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在现场处理结束后，对在事故中损坏的生产设施进行修复，并组织进行恢复生产。</w:t>
      </w:r>
    </w:p>
    <w:p>
      <w:pPr>
        <w:pStyle w:val="3"/>
        <w:spacing w:before="156"/>
        <w:ind w:left="321" w:hanging="321"/>
        <w:rPr>
          <w:color w:val="000000" w:themeColor="text1"/>
          <w14:textFill>
            <w14:solidFill>
              <w14:schemeClr w14:val="tx1"/>
            </w14:solidFill>
          </w14:textFill>
        </w:rPr>
      </w:pPr>
      <w:bookmarkStart w:id="119" w:name="_Toc116110964"/>
      <w:r>
        <w:rPr>
          <w:color w:val="000000" w:themeColor="text1"/>
          <w14:textFill>
            <w14:solidFill>
              <w14:schemeClr w14:val="tx1"/>
            </w14:solidFill>
          </w14:textFill>
        </w:rPr>
        <w:t>7</w:t>
      </w:r>
      <w:r>
        <w:rPr>
          <w:rFonts w:hint="eastAsia"/>
          <w:color w:val="000000" w:themeColor="text1"/>
          <w14:textFill>
            <w14:solidFill>
              <w14:schemeClr w14:val="tx1"/>
            </w14:solidFill>
          </w14:textFill>
        </w:rPr>
        <w:t>应急保障</w:t>
      </w:r>
      <w:bookmarkEnd w:id="11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理委员会要结合园区各企业单位特点，根据国家规定，配备较为齐全的应急指挥、应急处置、安全防护、通信及抢险设备做好突发环境事件应急处置队伍的建设和相关知识、技能的培训，建立健全值班制度，保证人员、装备等常年处于良好状态。</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可能发生突发环境事件的企业单位要针对本企业单位特点，配备必要的应急抢险和救护装备。</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高新区管理委员会要建立多渠道筹资机制或设置专项资金，保障突发环境事件应急指挥系统建设及运行、应急装备配备、应急技术支持、应急处置培训的资金需求。</w:t>
      </w:r>
    </w:p>
    <w:p>
      <w:pPr>
        <w:pStyle w:val="4"/>
        <w:spacing w:before="156"/>
        <w:ind w:left="301" w:hanging="301"/>
        <w:rPr>
          <w:color w:val="000000" w:themeColor="text1"/>
          <w14:textFill>
            <w14:solidFill>
              <w14:schemeClr w14:val="tx1"/>
            </w14:solidFill>
          </w14:textFill>
        </w:rPr>
      </w:pPr>
      <w:bookmarkStart w:id="120" w:name="_Toc116110965"/>
      <w:r>
        <w:rPr>
          <w:color w:val="000000" w:themeColor="text1"/>
          <w14:textFill>
            <w14:solidFill>
              <w14:schemeClr w14:val="tx1"/>
            </w14:solidFill>
          </w14:textFill>
        </w:rPr>
        <w:t>7</w:t>
      </w:r>
      <w:r>
        <w:rPr>
          <w:rFonts w:hint="eastAsia"/>
          <w:color w:val="000000" w:themeColor="text1"/>
          <w14:textFill>
            <w14:solidFill>
              <w14:schemeClr w14:val="tx1"/>
            </w14:solidFill>
          </w14:textFill>
        </w:rPr>
        <w:t>.1通信保障</w:t>
      </w:r>
      <w:bookmarkEnd w:id="120"/>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突发环境污染事件应急处置工作所需的通信保障工作体系，由应急通讯联络组等有关部门负责建立。</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要求区域内各企事业单位、周边敏感目标单位进行专人负责，配置专项通信工具，保障环境污染事故应急通信24小时通畅，能随时联系，随时反应。</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建立和完善环境安全预警系统和环境安全应急指挥系统，完善公用通信网络和信息传输渠道，配备必要的通讯器材，及时、准确收集、处理和传递应急信息与指令，提高应急处置效率。</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建立信息通信系统及维护方案，确保应急期间信息通畅。</w:t>
      </w:r>
    </w:p>
    <w:p>
      <w:pPr>
        <w:pStyle w:val="4"/>
        <w:spacing w:before="156"/>
        <w:ind w:left="301" w:hanging="301"/>
        <w:rPr>
          <w:color w:val="000000" w:themeColor="text1"/>
          <w14:textFill>
            <w14:solidFill>
              <w14:schemeClr w14:val="tx1"/>
            </w14:solidFill>
          </w14:textFill>
        </w:rPr>
      </w:pPr>
      <w:bookmarkStart w:id="121" w:name="_Toc116110966"/>
      <w:r>
        <w:rPr>
          <w:color w:val="000000" w:themeColor="text1"/>
          <w14:textFill>
            <w14:solidFill>
              <w14:schemeClr w14:val="tx1"/>
            </w14:solidFill>
          </w14:textFill>
        </w:rPr>
        <w:t>7</w:t>
      </w:r>
      <w:r>
        <w:rPr>
          <w:rFonts w:hint="eastAsia"/>
          <w:color w:val="000000" w:themeColor="text1"/>
          <w14:textFill>
            <w14:solidFill>
              <w14:schemeClr w14:val="tx1"/>
            </w14:solidFill>
          </w14:textFill>
        </w:rPr>
        <w:t>.2应急队伍保障</w:t>
      </w:r>
      <w:bookmarkEnd w:id="12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明确高新区各类应急响应队伍，包括专业应急队伍和非专业应急队伍，确保园区企业内环境应急队伍、高新区管委会突发环境事件应急指挥组织、依托的各类应急队伍在突发环境事件发生时都能各司其职，协同作战。</w:t>
      </w:r>
    </w:p>
    <w:p>
      <w:pPr>
        <w:pStyle w:val="5"/>
        <w:spacing w:before="0" w:beforeLines="0"/>
        <w:ind w:left="281" w:hanging="281"/>
        <w:rPr>
          <w:color w:val="000000" w:themeColor="text1"/>
          <w14:textFill>
            <w14:solidFill>
              <w14:schemeClr w14:val="tx1"/>
            </w14:solidFill>
          </w14:textFill>
        </w:rPr>
      </w:pPr>
      <w:bookmarkStart w:id="122" w:name="_Toc116110967"/>
      <w:r>
        <w:rPr>
          <w:color w:val="000000" w:themeColor="text1"/>
          <w14:textFill>
            <w14:solidFill>
              <w14:schemeClr w14:val="tx1"/>
            </w14:solidFill>
          </w14:textFill>
        </w:rPr>
        <w:t>7</w:t>
      </w:r>
      <w:r>
        <w:rPr>
          <w:rFonts w:hint="eastAsia"/>
          <w:color w:val="000000" w:themeColor="text1"/>
          <w14:textFill>
            <w14:solidFill>
              <w14:schemeClr w14:val="tx1"/>
            </w14:solidFill>
          </w14:textFill>
        </w:rPr>
        <w:t>.2.1企业应急队伍保障</w:t>
      </w:r>
      <w:bookmarkEnd w:id="12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园区内各企业配备的环境应急人力资源，遇到突发环境事件时第一时间赶赴现场，根据企业突发环境事件应急预案对现场进行处理处置。</w:t>
      </w:r>
    </w:p>
    <w:p>
      <w:pPr>
        <w:pStyle w:val="5"/>
        <w:spacing w:before="0" w:beforeLines="0"/>
        <w:ind w:left="281" w:hanging="281"/>
        <w:rPr>
          <w:color w:val="000000" w:themeColor="text1"/>
          <w14:textFill>
            <w14:solidFill>
              <w14:schemeClr w14:val="tx1"/>
            </w14:solidFill>
          </w14:textFill>
        </w:rPr>
      </w:pPr>
      <w:bookmarkStart w:id="123" w:name="_Toc116110968"/>
      <w:r>
        <w:rPr>
          <w:color w:val="000000" w:themeColor="text1"/>
          <w14:textFill>
            <w14:solidFill>
              <w14:schemeClr w14:val="tx1"/>
            </w14:solidFill>
          </w14:textFill>
        </w:rPr>
        <w:t>7</w:t>
      </w:r>
      <w:r>
        <w:rPr>
          <w:rFonts w:hint="eastAsia"/>
          <w:color w:val="000000" w:themeColor="text1"/>
          <w14:textFill>
            <w14:solidFill>
              <w14:schemeClr w14:val="tx1"/>
            </w14:solidFill>
          </w14:textFill>
        </w:rPr>
        <w:t>.2.2高新区应急队伍保障</w:t>
      </w:r>
      <w:bookmarkEnd w:id="123"/>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环境应急指挥部是突发环境事件应急管理工作的专项指挥机构。由总指挥、副总指挥和应急救援小组组长组成。应急指挥办公室直接领导各下属应急专业救援队，并向总指挥汇报，由总指挥协调各队工作的进行。应急救援队由紧急救援组、通讯联络组、物资保障组、环境监测组、疏散引导组、技术专家组组成，各小组在突发事件中承担不同的职能。</w:t>
      </w:r>
    </w:p>
    <w:p>
      <w:pPr>
        <w:pStyle w:val="5"/>
        <w:spacing w:before="0" w:beforeLines="0"/>
        <w:ind w:left="281" w:hanging="281"/>
        <w:rPr>
          <w:color w:val="000000" w:themeColor="text1"/>
          <w14:textFill>
            <w14:solidFill>
              <w14:schemeClr w14:val="tx1"/>
            </w14:solidFill>
          </w14:textFill>
        </w:rPr>
      </w:pPr>
      <w:bookmarkStart w:id="124" w:name="_Toc116110969"/>
      <w:r>
        <w:rPr>
          <w:color w:val="000000" w:themeColor="text1"/>
          <w14:textFill>
            <w14:solidFill>
              <w14:schemeClr w14:val="tx1"/>
            </w14:solidFill>
          </w14:textFill>
        </w:rPr>
        <w:t>7</w:t>
      </w:r>
      <w:r>
        <w:rPr>
          <w:rFonts w:hint="eastAsia"/>
          <w:color w:val="000000" w:themeColor="text1"/>
          <w14:textFill>
            <w14:solidFill>
              <w14:schemeClr w14:val="tx1"/>
            </w14:solidFill>
          </w14:textFill>
        </w:rPr>
        <w:t>.2.3依托应急队伍保障</w:t>
      </w:r>
      <w:bookmarkEnd w:id="12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高新区内石化等重点企业均有成熟的公安、消防、医疗等专业化机构及队伍，园区发环境事件发生后的应急救援过程中，可请求相关部门或应急服务机构进行支援。</w:t>
      </w:r>
    </w:p>
    <w:p>
      <w:pPr>
        <w:pStyle w:val="4"/>
        <w:spacing w:before="156"/>
        <w:ind w:left="301" w:hanging="301"/>
        <w:rPr>
          <w:color w:val="000000" w:themeColor="text1"/>
          <w14:textFill>
            <w14:solidFill>
              <w14:schemeClr w14:val="tx1"/>
            </w14:solidFill>
          </w14:textFill>
        </w:rPr>
      </w:pPr>
      <w:bookmarkStart w:id="125" w:name="_Toc116110970"/>
      <w:r>
        <w:rPr>
          <w:color w:val="000000" w:themeColor="text1"/>
          <w14:textFill>
            <w14:solidFill>
              <w14:schemeClr w14:val="tx1"/>
            </w14:solidFill>
          </w14:textFill>
        </w:rPr>
        <w:t>7</w:t>
      </w:r>
      <w:r>
        <w:rPr>
          <w:rFonts w:hint="eastAsia"/>
          <w:color w:val="000000" w:themeColor="text1"/>
          <w14:textFill>
            <w14:solidFill>
              <w14:schemeClr w14:val="tx1"/>
            </w14:solidFill>
          </w14:textFill>
        </w:rPr>
        <w:t>.3应急物资保障</w:t>
      </w:r>
      <w:bookmarkEnd w:id="125"/>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高新区管委会应根据本辖区突发环境事件应急处置需要，有计划、有针对性地配置应急装备和物资，以协议储备和实物储备相结合的方式，有效降低储备费用，提高处置效能。</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应急物资，包括个人防护类、仪器检测类、污染处置类、交通通讯类等数量、性能、存放位置、管理责任人及其联系方式等内容（详见应急物质调查报告）；确保高新区企业内环境应急物资、管委会管理的应急物资、依托的各单位的应急物资在突发环境事件发生时都能立即调用。</w:t>
      </w:r>
    </w:p>
    <w:p>
      <w:pPr>
        <w:pStyle w:val="29"/>
        <w:spacing w:before="0" w:beforeLines="0" w:after="0" w:line="360" w:lineRule="auto"/>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高新区现没有应急装备和物资，高新区管委会应及时采购。</w:t>
      </w:r>
    </w:p>
    <w:p>
      <w:pPr>
        <w:pStyle w:val="5"/>
        <w:spacing w:before="0" w:beforeLines="0"/>
        <w:ind w:left="281" w:hanging="281"/>
        <w:rPr>
          <w:color w:val="000000" w:themeColor="text1"/>
          <w14:textFill>
            <w14:solidFill>
              <w14:schemeClr w14:val="tx1"/>
            </w14:solidFill>
          </w14:textFill>
        </w:rPr>
      </w:pPr>
      <w:bookmarkStart w:id="126" w:name="_Toc116110971"/>
      <w:r>
        <w:rPr>
          <w:color w:val="000000" w:themeColor="text1"/>
          <w14:textFill>
            <w14:solidFill>
              <w14:schemeClr w14:val="tx1"/>
            </w14:solidFill>
          </w14:textFill>
        </w:rPr>
        <w:t>7</w:t>
      </w:r>
      <w:r>
        <w:rPr>
          <w:rFonts w:hint="eastAsia"/>
          <w:color w:val="000000" w:themeColor="text1"/>
          <w14:textFill>
            <w14:solidFill>
              <w14:schemeClr w14:val="tx1"/>
            </w14:solidFill>
          </w14:textFill>
        </w:rPr>
        <w:t>.3.1企业应急装备保障</w:t>
      </w:r>
      <w:bookmarkEnd w:id="12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园区企业配备的相应的环境应急物质，遇到突发环境事件时首先调取使用，根据事故现场情况选取相应物资进行处理处置。</w:t>
      </w:r>
    </w:p>
    <w:p>
      <w:pPr>
        <w:pStyle w:val="5"/>
        <w:spacing w:before="0" w:beforeLines="0"/>
        <w:ind w:left="281" w:hanging="281"/>
        <w:rPr>
          <w:color w:val="000000" w:themeColor="text1"/>
          <w14:textFill>
            <w14:solidFill>
              <w14:schemeClr w14:val="tx1"/>
            </w14:solidFill>
          </w14:textFill>
        </w:rPr>
      </w:pPr>
      <w:bookmarkStart w:id="127" w:name="_Toc116110972"/>
      <w:r>
        <w:rPr>
          <w:color w:val="000000" w:themeColor="text1"/>
          <w14:textFill>
            <w14:solidFill>
              <w14:schemeClr w14:val="tx1"/>
            </w14:solidFill>
          </w14:textFill>
        </w:rPr>
        <w:t>7</w:t>
      </w:r>
      <w:r>
        <w:rPr>
          <w:rFonts w:hint="eastAsia"/>
          <w:color w:val="000000" w:themeColor="text1"/>
          <w14:textFill>
            <w14:solidFill>
              <w14:schemeClr w14:val="tx1"/>
            </w14:solidFill>
          </w14:textFill>
        </w:rPr>
        <w:t>.3.2高新区应急装备保障</w:t>
      </w:r>
      <w:bookmarkEnd w:id="127"/>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明确高新区应急救援需要使用的应急物资和装备的类型、数量、性能、存放位置、管理责任人及其联系方式等内容。根据突发环境事件情况，应急物资由高新区管理委员会应急救援指挥部指挥调用。</w:t>
      </w:r>
    </w:p>
    <w:p>
      <w:pPr>
        <w:pStyle w:val="5"/>
        <w:spacing w:before="0" w:beforeLines="0"/>
        <w:ind w:left="281" w:hanging="281"/>
        <w:rPr>
          <w:color w:val="000000" w:themeColor="text1"/>
          <w14:textFill>
            <w14:solidFill>
              <w14:schemeClr w14:val="tx1"/>
            </w14:solidFill>
          </w14:textFill>
        </w:rPr>
      </w:pPr>
      <w:bookmarkStart w:id="128" w:name="_Toc116110973"/>
      <w:r>
        <w:rPr>
          <w:color w:val="000000" w:themeColor="text1"/>
          <w14:textFill>
            <w14:solidFill>
              <w14:schemeClr w14:val="tx1"/>
            </w14:solidFill>
          </w14:textFill>
        </w:rPr>
        <w:t>7</w:t>
      </w:r>
      <w:r>
        <w:rPr>
          <w:rFonts w:hint="eastAsia"/>
          <w:color w:val="000000" w:themeColor="text1"/>
          <w14:textFill>
            <w14:solidFill>
              <w14:schemeClr w14:val="tx1"/>
            </w14:solidFill>
          </w14:textFill>
        </w:rPr>
        <w:t>.3.3依托应急物资保障</w:t>
      </w:r>
      <w:bookmarkEnd w:id="128"/>
    </w:p>
    <w:p>
      <w:pPr>
        <w:autoSpaceDE w:val="0"/>
        <w:autoSpaceDN w:val="0"/>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园区内的企业在发生突发环境事件时可以随时调用；高新区</w:t>
      </w:r>
      <w:r>
        <w:rPr>
          <w:color w:val="000000" w:themeColor="text1"/>
          <w14:textFill>
            <w14:solidFill>
              <w14:schemeClr w14:val="tx1"/>
            </w14:solidFill>
          </w14:textFill>
        </w:rPr>
        <w:t>管委会</w:t>
      </w:r>
      <w:r>
        <w:rPr>
          <w:rFonts w:hint="eastAsia"/>
          <w:color w:val="000000" w:themeColor="text1"/>
          <w14:textFill>
            <w14:solidFill>
              <w14:schemeClr w14:val="tx1"/>
            </w14:solidFill>
          </w14:textFill>
        </w:rPr>
        <w:t>备有应急物资储备库，并且抚顺石化</w:t>
      </w:r>
      <w:r>
        <w:rPr>
          <w:color w:val="000000" w:themeColor="text1"/>
          <w14:textFill>
            <w14:solidFill>
              <w14:schemeClr w14:val="tx1"/>
            </w14:solidFill>
          </w14:textFill>
        </w:rPr>
        <w:t>消防救援大队</w:t>
      </w:r>
      <w:r>
        <w:rPr>
          <w:rFonts w:hint="eastAsia"/>
          <w:color w:val="000000" w:themeColor="text1"/>
          <w14:textFill>
            <w14:solidFill>
              <w14:schemeClr w14:val="tx1"/>
            </w14:solidFill>
          </w14:textFill>
        </w:rPr>
        <w:t>，抚顺红十字会、环境监测单位和具有工程机械的工程公司等单位</w:t>
      </w:r>
      <w:r>
        <w:rPr>
          <w:color w:val="000000" w:themeColor="text1"/>
          <w14:textFill>
            <w14:solidFill>
              <w14:schemeClr w14:val="tx1"/>
            </w14:solidFill>
          </w14:textFill>
        </w:rPr>
        <w:t>签订应急救援协议。</w:t>
      </w:r>
    </w:p>
    <w:p>
      <w:pPr>
        <w:pStyle w:val="4"/>
        <w:spacing w:before="156"/>
        <w:ind w:left="301" w:hanging="301"/>
        <w:rPr>
          <w:color w:val="000000" w:themeColor="text1"/>
          <w14:textFill>
            <w14:solidFill>
              <w14:schemeClr w14:val="tx1"/>
            </w14:solidFill>
          </w14:textFill>
        </w:rPr>
      </w:pPr>
      <w:bookmarkStart w:id="129" w:name="_Toc116110974"/>
      <w:r>
        <w:rPr>
          <w:color w:val="000000" w:themeColor="text1"/>
          <w14:textFill>
            <w14:solidFill>
              <w14:schemeClr w14:val="tx1"/>
            </w14:solidFill>
          </w14:textFill>
        </w:rPr>
        <w:t>7</w:t>
      </w:r>
      <w:r>
        <w:rPr>
          <w:rFonts w:hint="eastAsia"/>
          <w:color w:val="000000" w:themeColor="text1"/>
          <w14:textFill>
            <w14:solidFill>
              <w14:schemeClr w14:val="tx1"/>
            </w14:solidFill>
          </w14:textFill>
        </w:rPr>
        <w:t>.4宣传、培训与演练</w:t>
      </w:r>
      <w:bookmarkEnd w:id="12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高新区环境应急指挥部充分利用各种媒体，广泛宣传环境安全的重要意义，普及环境应急预防、避险自救、互救等常识，公布突发环境事件信息报告渠道，增强公众的防范意识，提高公众的防范能力。</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环境应急指挥部有关成员单位及环境风险源单位，加强重点单位、重点部位和重点基础设施等重要目标工作人员的培训和管理，有计划地开展突发环境事件应急培训，提高环境应急专业技术人员的专业技能和应急处置能力。</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环境应急指挥部各有关成员单位、环境风险源单位应按照应急预案并结合实际，有计划、有重点地组织突发环境事件应急演练，加强各部门之间的协同能力，提高防范和处置突发环境事件的技能，增强实战能力。</w:t>
      </w:r>
    </w:p>
    <w:p>
      <w:pPr>
        <w:pStyle w:val="4"/>
        <w:spacing w:before="156"/>
        <w:ind w:left="301" w:hanging="301"/>
        <w:rPr>
          <w:color w:val="000000" w:themeColor="text1"/>
          <w14:textFill>
            <w14:solidFill>
              <w14:schemeClr w14:val="tx1"/>
            </w14:solidFill>
          </w14:textFill>
        </w:rPr>
      </w:pPr>
      <w:bookmarkStart w:id="130" w:name="_Toc116110975"/>
      <w:r>
        <w:rPr>
          <w:color w:val="000000" w:themeColor="text1"/>
          <w14:textFill>
            <w14:solidFill>
              <w14:schemeClr w14:val="tx1"/>
            </w14:solidFill>
          </w14:textFill>
        </w:rPr>
        <w:t>7</w:t>
      </w:r>
      <w:r>
        <w:rPr>
          <w:rFonts w:hint="eastAsia"/>
          <w:color w:val="000000" w:themeColor="text1"/>
          <w14:textFill>
            <w14:solidFill>
              <w14:schemeClr w14:val="tx1"/>
            </w14:solidFill>
          </w14:textFill>
        </w:rPr>
        <w:t>.5交通运输保障</w:t>
      </w:r>
      <w:bookmarkEnd w:id="130"/>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委员会建立交通运输工具动态数据库，明确各类交通运输工具数量、分布、功能、使用状态，制定交通运输工具调用方案。并会同公安交警部门规划应急交通管制线路，确保环境突发污染事件发生时交通安全与通畅。</w:t>
      </w:r>
    </w:p>
    <w:p>
      <w:pPr>
        <w:pStyle w:val="4"/>
        <w:spacing w:before="156"/>
        <w:ind w:left="301" w:hanging="301"/>
        <w:rPr>
          <w:color w:val="000000" w:themeColor="text1"/>
          <w14:textFill>
            <w14:solidFill>
              <w14:schemeClr w14:val="tx1"/>
            </w14:solidFill>
          </w14:textFill>
        </w:rPr>
      </w:pPr>
      <w:bookmarkStart w:id="131" w:name="_Toc116110976"/>
      <w:r>
        <w:rPr>
          <w:color w:val="000000" w:themeColor="text1"/>
          <w14:textFill>
            <w14:solidFill>
              <w14:schemeClr w14:val="tx1"/>
            </w14:solidFill>
          </w14:textFill>
        </w:rPr>
        <w:t>7</w:t>
      </w:r>
      <w:r>
        <w:rPr>
          <w:rFonts w:hint="eastAsia"/>
          <w:color w:val="000000" w:themeColor="text1"/>
          <w14:textFill>
            <w14:solidFill>
              <w14:schemeClr w14:val="tx1"/>
            </w14:solidFill>
          </w14:textFill>
        </w:rPr>
        <w:t>.6治安保障</w:t>
      </w:r>
      <w:bookmarkEnd w:id="13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高新区管委员制定维持治安秩序、实行警戒和交通管制的警力集结、布控、执勤等工作方案，加强对重点地区、重点场所、重点人群、重要物 质设备的保护，依法打击突发环境污染事件发生过程中的违法犯罪活动，维护社会正常秩序。</w:t>
      </w:r>
    </w:p>
    <w:p>
      <w:pPr>
        <w:pStyle w:val="4"/>
        <w:spacing w:before="156"/>
        <w:ind w:left="301" w:hanging="301"/>
        <w:rPr>
          <w:color w:val="000000" w:themeColor="text1"/>
          <w14:textFill>
            <w14:solidFill>
              <w14:schemeClr w14:val="tx1"/>
            </w14:solidFill>
          </w14:textFill>
        </w:rPr>
      </w:pPr>
      <w:bookmarkStart w:id="132" w:name="_Toc116110977"/>
      <w:r>
        <w:rPr>
          <w:color w:val="000000" w:themeColor="text1"/>
          <w14:textFill>
            <w14:solidFill>
              <w14:schemeClr w14:val="tx1"/>
            </w14:solidFill>
          </w14:textFill>
        </w:rPr>
        <w:t>7</w:t>
      </w:r>
      <w:r>
        <w:rPr>
          <w:rFonts w:hint="eastAsia"/>
          <w:color w:val="000000" w:themeColor="text1"/>
          <w14:textFill>
            <w14:solidFill>
              <w14:schemeClr w14:val="tx1"/>
            </w14:solidFill>
          </w14:textFill>
        </w:rPr>
        <w:t>.7技术保障</w:t>
      </w:r>
      <w:bookmarkEnd w:id="13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高新区管委会应不断改进技术装备。根据环境处置工作的需要，应急技术专家组会同有关部门调集相关专家和技术队伍支持应急处置工作。</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高新区管委会及生态环境部门在有需要的情况下，应向市科技局、高校及科研院所进行突发环境事件预防、预警、预测和应急处置技术的研究、开发。</w:t>
      </w:r>
    </w:p>
    <w:p>
      <w:pPr>
        <w:pStyle w:val="4"/>
        <w:spacing w:before="156"/>
        <w:ind w:left="301" w:hanging="301"/>
        <w:rPr>
          <w:color w:val="000000" w:themeColor="text1"/>
          <w14:textFill>
            <w14:solidFill>
              <w14:schemeClr w14:val="tx1"/>
            </w14:solidFill>
          </w14:textFill>
        </w:rPr>
      </w:pPr>
      <w:bookmarkStart w:id="133" w:name="_Toc116110978"/>
      <w:r>
        <w:rPr>
          <w:color w:val="000000" w:themeColor="text1"/>
          <w14:textFill>
            <w14:solidFill>
              <w14:schemeClr w14:val="tx1"/>
            </w14:solidFill>
          </w14:textFill>
        </w:rPr>
        <w:t>7</w:t>
      </w:r>
      <w:r>
        <w:rPr>
          <w:rFonts w:hint="eastAsia"/>
          <w:color w:val="000000" w:themeColor="text1"/>
          <w14:textFill>
            <w14:solidFill>
              <w14:schemeClr w14:val="tx1"/>
            </w14:solidFill>
          </w14:textFill>
        </w:rPr>
        <w:t>.8经费保障</w:t>
      </w:r>
      <w:bookmarkEnd w:id="133"/>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环境应急指挥部办公室及有关成员单位，根据突发环境事件应急需要，编制相应的环境应急能力建设规划，提出应急能力建设、应急物资储备和应急培训与演练等经费预算，由财政统盘考虑。高新区管委会对环境应急能力建设和突发环境事件应对工作予以资金支持，在年度经费预算中合理安排突发环境事件应急与善后处置经费，并确保及时拨付到位。</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突发环境污染事件应急准备和救援工作所需资金由两部分构成，一是企事业单位的资金保障，二是高新区管理委员会的资金保障。</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企事业单位的资金保障由企事业单位按照其可能发生的环境污染事故等级、危害和预防情况，提存企业事故预防资金，并且该资金转款专用，不能做他用。</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突发环境污染事件应急准备和救援资金由高新区管理委员会提出预算并汇总，经财政审核后列入高新区突发公共事件应急准备和紧急处置总体经费。由财政审核后，列入高新区突发公共事件应急准备和紧急处置总体经费和本年度财政资金预算。高新区管委会财政部门负责保障环境事件应急费用，建立应急经费快速拨付机制。财政部门要加强对环境突发事件财政应急资金的监督管理，保证专款专用，提高资金使用效益。</w:t>
      </w:r>
    </w:p>
    <w:p>
      <w:pPr>
        <w:pStyle w:val="4"/>
        <w:spacing w:before="156"/>
        <w:ind w:left="301" w:hanging="301"/>
        <w:rPr>
          <w:color w:val="000000" w:themeColor="text1"/>
          <w14:textFill>
            <w14:solidFill>
              <w14:schemeClr w14:val="tx1"/>
            </w14:solidFill>
          </w14:textFill>
        </w:rPr>
      </w:pPr>
      <w:bookmarkStart w:id="134" w:name="_Toc116110979"/>
      <w:r>
        <w:rPr>
          <w:color w:val="000000" w:themeColor="text1"/>
          <w14:textFill>
            <w14:solidFill>
              <w14:schemeClr w14:val="tx1"/>
            </w14:solidFill>
          </w14:textFill>
        </w:rPr>
        <w:t>7</w:t>
      </w:r>
      <w:r>
        <w:rPr>
          <w:rFonts w:hint="eastAsia"/>
          <w:color w:val="000000" w:themeColor="text1"/>
          <w14:textFill>
            <w14:solidFill>
              <w14:schemeClr w14:val="tx1"/>
            </w14:solidFill>
          </w14:textFill>
        </w:rPr>
        <w:t>.9保险</w:t>
      </w:r>
      <w:bookmarkEnd w:id="13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立和完善突发环境事件社会保险机制。高新区环境应急指挥部办公室为高新区环境应急救援队伍和技术支撑队伍工作人员免费办理意外伤害保险。加快推进环境污染责任保险，对于环境风险源单位，特别是发生过突发环境事件的，应办理环境污染责任保险。</w:t>
      </w:r>
    </w:p>
    <w:p>
      <w:pPr>
        <w:pStyle w:val="3"/>
        <w:spacing w:before="156"/>
        <w:ind w:left="321" w:hanging="321"/>
        <w:rPr>
          <w:color w:val="000000" w:themeColor="text1"/>
          <w14:textFill>
            <w14:solidFill>
              <w14:schemeClr w14:val="tx1"/>
            </w14:solidFill>
          </w14:textFill>
        </w:rPr>
      </w:pPr>
      <w:bookmarkStart w:id="135" w:name="_Toc116110980"/>
      <w:r>
        <w:rPr>
          <w:color w:val="000000" w:themeColor="text1"/>
          <w14:textFill>
            <w14:solidFill>
              <w14:schemeClr w14:val="tx1"/>
            </w14:solidFill>
          </w14:textFill>
        </w:rPr>
        <w:t>8</w:t>
      </w:r>
      <w:r>
        <w:rPr>
          <w:rFonts w:hint="eastAsia"/>
          <w:color w:val="000000" w:themeColor="text1"/>
          <w14:textFill>
            <w14:solidFill>
              <w14:schemeClr w14:val="tx1"/>
            </w14:solidFill>
          </w14:textFill>
        </w:rPr>
        <w:t>应急培训和演练</w:t>
      </w:r>
      <w:bookmarkEnd w:id="135"/>
    </w:p>
    <w:p>
      <w:pPr>
        <w:pStyle w:val="4"/>
        <w:spacing w:before="156"/>
        <w:ind w:left="301" w:hanging="301"/>
        <w:rPr>
          <w:color w:val="000000" w:themeColor="text1"/>
          <w14:textFill>
            <w14:solidFill>
              <w14:schemeClr w14:val="tx1"/>
            </w14:solidFill>
          </w14:textFill>
        </w:rPr>
      </w:pPr>
      <w:bookmarkStart w:id="136" w:name="_Toc116110981"/>
      <w:r>
        <w:rPr>
          <w:color w:val="000000" w:themeColor="text1"/>
          <w14:textFill>
            <w14:solidFill>
              <w14:schemeClr w14:val="tx1"/>
            </w14:solidFill>
          </w14:textFill>
        </w:rPr>
        <w:t>8</w:t>
      </w:r>
      <w:r>
        <w:rPr>
          <w:rFonts w:hint="eastAsia"/>
          <w:color w:val="000000" w:themeColor="text1"/>
          <w14:textFill>
            <w14:solidFill>
              <w14:schemeClr w14:val="tx1"/>
            </w14:solidFill>
          </w14:textFill>
        </w:rPr>
        <w:t>.1应急培训计划</w:t>
      </w:r>
      <w:bookmarkEnd w:id="136"/>
    </w:p>
    <w:p>
      <w:pPr>
        <w:pStyle w:val="5"/>
        <w:spacing w:before="0" w:beforeLines="0"/>
        <w:ind w:left="281" w:hanging="281"/>
        <w:rPr>
          <w:color w:val="000000" w:themeColor="text1"/>
          <w14:textFill>
            <w14:solidFill>
              <w14:schemeClr w14:val="tx1"/>
            </w14:solidFill>
          </w14:textFill>
        </w:rPr>
      </w:pPr>
      <w:bookmarkStart w:id="137" w:name="_Toc116110982"/>
      <w:r>
        <w:rPr>
          <w:color w:val="000000" w:themeColor="text1"/>
          <w14:textFill>
            <w14:solidFill>
              <w14:schemeClr w14:val="tx1"/>
            </w14:solidFill>
          </w14:textFill>
        </w:rPr>
        <w:t>8</w:t>
      </w:r>
      <w:r>
        <w:rPr>
          <w:rFonts w:hint="eastAsia"/>
          <w:color w:val="000000" w:themeColor="text1"/>
          <w14:textFill>
            <w14:solidFill>
              <w14:schemeClr w14:val="tx1"/>
            </w14:solidFill>
          </w14:textFill>
        </w:rPr>
        <w:t>.1.1应急救援指挥部成员的培训</w:t>
      </w:r>
      <w:bookmarkEnd w:id="137"/>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预案制实施后，突发环境事件应急指挥部成员应认真学习本预案内容，明确在救援现场所担负的责任和义务。为了加强环境应急管理人员、专业救援抢险队伍等人员的培训，提高应急救援能力。每年组织环境应急指挥部成员进行一次应急响应培训和安全技术知识培训，主要培训内容为：</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（1）应急救援人员的专业培训内容和方法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园区企业等基本安全生产规章制度、安全操作规程等；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防火、防爆、防毒的基本知识，重点部位的分布与事故风险；</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企业厂区、车间、装置等异常情况的排除、处理方法；火灾、泄漏的抢险处理措施；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事故报警与报告程序、方式；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各种应急设施位置，应急设备储存地点，以及防护用品的使用与正确佩戴,事故发生后如何开展自救和互救；</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6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⑥</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应急疏散程序与事故现场的保护；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7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⑦</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医疗急救知识与技能。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指挥人员和协议单位监测人员、工程机械操作人员等特别培训的内容和方法邀请有关应急救援专家及行业专家，就企业涉及的环境风险物质性质、处置方式，以及在事故的指挥、决策、配合等内容进行培训。采取的方式为综合讨论、专家讲座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培训时间：每年1次。</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（3）对专业应急人员的培训内容主要包括以下方面：</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1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①</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如何识别风险；</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2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②</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如何启动紧急警报系统；</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③</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环境风险物质泄漏控制措施；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4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④</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各种应急设备的使用方法；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5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⑤</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防护用品的佩戴和使用；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6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⑥</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受伤人员的救助措施；</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7 \* GB3</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hint="eastAsia" w:asciiTheme="minorEastAsia" w:hAnsiTheme="minorEastAsia" w:eastAsiaTheme="minorEastAsia"/>
          <w:color w:val="000000" w:themeColor="text1"/>
          <w14:textFill>
            <w14:solidFill>
              <w14:schemeClr w14:val="tx1"/>
            </w14:solidFill>
          </w14:textFill>
        </w:rPr>
        <w:t>⑦</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如何安全疏散人群等。</w:t>
      </w:r>
    </w:p>
    <w:p>
      <w:pPr>
        <w:pStyle w:val="5"/>
        <w:spacing w:before="0" w:beforeLines="0"/>
        <w:ind w:left="281" w:hanging="281"/>
        <w:rPr>
          <w:color w:val="000000" w:themeColor="text1"/>
          <w14:textFill>
            <w14:solidFill>
              <w14:schemeClr w14:val="tx1"/>
            </w14:solidFill>
          </w14:textFill>
        </w:rPr>
      </w:pPr>
      <w:bookmarkStart w:id="138" w:name="_Toc116110983"/>
      <w:r>
        <w:rPr>
          <w:color w:val="000000" w:themeColor="text1"/>
          <w14:textFill>
            <w14:solidFill>
              <w14:schemeClr w14:val="tx1"/>
            </w14:solidFill>
          </w14:textFill>
        </w:rPr>
        <w:t>8</w:t>
      </w:r>
      <w:r>
        <w:rPr>
          <w:rFonts w:hint="eastAsia"/>
          <w:color w:val="000000" w:themeColor="text1"/>
          <w14:textFill>
            <w14:solidFill>
              <w14:schemeClr w14:val="tx1"/>
            </w14:solidFill>
          </w14:textFill>
        </w:rPr>
        <w:t>.1.2企业应急救援人员的培训</w:t>
      </w:r>
      <w:bookmarkEnd w:id="138"/>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为了提高园区各企业的应急救援能力，高新区管委会应每年组织园区企业应急救援指挥部应急人员进行一次应急响应培训和安全技术知识培训，主要培训内容：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（1）了解、掌握事故应急救援预案内容；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（2）熟悉使用各类防护器具；</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（3）如何展开事故现场抢救、救援及事故处置；</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（4）事故现场自我防护及监护措施，化学品基本防护知识；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（5）可能的重大危险事故及其后果；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（6）事故报警与报告；</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（7）疏散撤离的组织、方法和程序；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（8）自救与互救的基本常识等。</w:t>
      </w:r>
    </w:p>
    <w:p>
      <w:pPr>
        <w:pStyle w:val="5"/>
        <w:spacing w:before="0" w:beforeLines="0"/>
        <w:ind w:left="281" w:hanging="281"/>
        <w:rPr>
          <w:color w:val="000000" w:themeColor="text1"/>
          <w14:textFill>
            <w14:solidFill>
              <w14:schemeClr w14:val="tx1"/>
            </w14:solidFill>
          </w14:textFill>
        </w:rPr>
      </w:pPr>
      <w:bookmarkStart w:id="139" w:name="_Toc116110984"/>
      <w:r>
        <w:rPr>
          <w:color w:val="000000" w:themeColor="text1"/>
          <w14:textFill>
            <w14:solidFill>
              <w14:schemeClr w14:val="tx1"/>
            </w14:solidFill>
          </w14:textFill>
        </w:rPr>
        <w:t>8</w:t>
      </w:r>
      <w:r>
        <w:rPr>
          <w:rFonts w:hint="eastAsia"/>
          <w:color w:val="000000" w:themeColor="text1"/>
          <w14:textFill>
            <w14:solidFill>
              <w14:schemeClr w14:val="tx1"/>
            </w14:solidFill>
          </w14:textFill>
        </w:rPr>
        <w:t>.1.3外部公众应急响应的培训</w:t>
      </w:r>
      <w:bookmarkEnd w:id="13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通过多种媒体和形式，向外部公众（周边企业、人口聚居区等）广泛宣传环境污染事件应急预案和相关的应急法律法规，让外部公众正确认识如何应对突发环境污染事件，以及如何做好个人防护。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针对疏散、个体防护等内容，向周边群众进行宣传，使事故波及到的区域都能对危险化学品事故应急救援的基本程序、应该采取的措施等内容有全面了解。</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（1)可能的重大危险事故及其后果；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（2)事故报警与报告；</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（3)灭火器的使用与基本灭火方法；</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（4)泄漏处置与化学品基本防护知识；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（5)疏散撤离的组织、方法和程序；</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（6)自救与互救的基本常识。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采取的方式：口头宣传、应急救援知识讲座等。时间：每年1次。</w:t>
      </w:r>
    </w:p>
    <w:p>
      <w:pPr>
        <w:pStyle w:val="4"/>
        <w:spacing w:before="156"/>
        <w:ind w:left="301" w:hanging="301"/>
        <w:rPr>
          <w:color w:val="000000" w:themeColor="text1"/>
          <w14:textFill>
            <w14:solidFill>
              <w14:schemeClr w14:val="tx1"/>
            </w14:solidFill>
          </w14:textFill>
        </w:rPr>
      </w:pPr>
      <w:bookmarkStart w:id="140" w:name="_Toc116110985"/>
      <w:r>
        <w:rPr>
          <w:color w:val="000000" w:themeColor="text1"/>
          <w14:textFill>
            <w14:solidFill>
              <w14:schemeClr w14:val="tx1"/>
            </w14:solidFill>
          </w14:textFill>
        </w:rPr>
        <w:t>8</w:t>
      </w:r>
      <w:r>
        <w:rPr>
          <w:rFonts w:hint="eastAsia"/>
          <w:color w:val="000000" w:themeColor="text1"/>
          <w14:textFill>
            <w14:solidFill>
              <w14:schemeClr w14:val="tx1"/>
            </w14:solidFill>
          </w14:textFill>
        </w:rPr>
        <w:t>.2应急演练计划</w:t>
      </w:r>
      <w:bookmarkEnd w:id="140"/>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管理委员会定期组织突发环境事件应急实战演练，磨合机制、锻炼队伍、完善预案，演练从实战角度出发，深入发动群众参与，达到普及应急知识和提高环境应急技能的目的，切实提高防范和处置突发环境事件的实战能力。</w:t>
      </w:r>
    </w:p>
    <w:p>
      <w:pPr>
        <w:pStyle w:val="5"/>
        <w:spacing w:before="0" w:beforeLines="0"/>
        <w:ind w:left="281" w:hanging="281"/>
        <w:rPr>
          <w:color w:val="000000" w:themeColor="text1"/>
          <w14:textFill>
            <w14:solidFill>
              <w14:schemeClr w14:val="tx1"/>
            </w14:solidFill>
          </w14:textFill>
        </w:rPr>
      </w:pPr>
      <w:bookmarkStart w:id="141" w:name="_Toc116110986"/>
      <w:r>
        <w:rPr>
          <w:color w:val="000000" w:themeColor="text1"/>
          <w14:textFill>
            <w14:solidFill>
              <w14:schemeClr w14:val="tx1"/>
            </w14:solidFill>
          </w14:textFill>
        </w:rPr>
        <w:t>8</w:t>
      </w:r>
      <w:r>
        <w:rPr>
          <w:rFonts w:hint="eastAsia"/>
          <w:color w:val="000000" w:themeColor="text1"/>
          <w14:textFill>
            <w14:solidFill>
              <w14:schemeClr w14:val="tx1"/>
            </w14:solidFill>
          </w14:textFill>
        </w:rPr>
        <w:t>.2.1演练要求</w:t>
      </w:r>
      <w:bookmarkEnd w:id="14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通过演练，锻炼和提高相关人员在突发事故情况下的快速抢险救援，及时营救伤员、正确指导和帮助员工防护和撤离、有效消除危害后果、提高现场急救和伤员转送等应急救援技能和应急反应综合素质、有效降低事故危害，减少对环境的危害程度。</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若演练类型涉及周边企业和居民撤离，应考虑与抚顺市政府共同组织。</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演练结束后，由应急指挥部对演练的效果进行分析评估，总结演练时各部门应急反应能力及演习效果，解决演练中暴露的问题。演练过程、评估结果和问题整改结果要以文字形式记录并保存。应急演练相关记录表如下所示。</w:t>
      </w:r>
    </w:p>
    <w:p>
      <w:pPr>
        <w:spacing w:before="163"/>
        <w:ind w:firstLine="480"/>
        <w:rPr>
          <w:color w:val="000000" w:themeColor="text1"/>
          <w:spacing w:val="-4"/>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应急救援培训记录表</w:t>
      </w:r>
      <w:r>
        <w:rPr>
          <w:rFonts w:hint="eastAsia"/>
          <w:color w:val="000000" w:themeColor="text1"/>
          <w14:textFill>
            <w14:solidFill>
              <w14:schemeClr w14:val="tx1"/>
            </w14:solidFill>
          </w14:textFill>
        </w:rPr>
        <w:t>：</w:t>
      </w:r>
    </w:p>
    <w:p>
      <w:pPr>
        <w:spacing w:before="163"/>
        <w:ind w:firstLine="210" w:firstLineChars="10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部门名</w:t>
      </w:r>
      <w:r>
        <w:rPr>
          <w:rFonts w:hint="eastAsia"/>
          <w:color w:val="000000" w:themeColor="text1"/>
          <w:sz w:val="21"/>
          <w:szCs w:val="21"/>
          <w14:textFill>
            <w14:solidFill>
              <w14:schemeClr w14:val="tx1"/>
            </w14:solidFill>
          </w14:textFill>
        </w:rPr>
        <w:t>称：</w:t>
      </w:r>
    </w:p>
    <w:tbl>
      <w:tblPr>
        <w:tblStyle w:val="5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5"/>
        <w:gridCol w:w="1224"/>
        <w:gridCol w:w="1245"/>
        <w:gridCol w:w="1278"/>
        <w:gridCol w:w="992"/>
        <w:gridCol w:w="990"/>
        <w:gridCol w:w="877"/>
        <w:gridCol w:w="10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4" w:type="pct"/>
            <w:vMerge w:val="restar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736" w:type="pct"/>
            <w:vMerge w:val="restart"/>
            <w:vAlign w:val="center"/>
          </w:tcPr>
          <w:p>
            <w:pPr>
              <w:pStyle w:val="78"/>
              <w:tabs>
                <w:tab w:val="left" w:pos="1193"/>
              </w:tabs>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培训时间</w:t>
            </w:r>
          </w:p>
        </w:tc>
        <w:tc>
          <w:tcPr>
            <w:tcW w:w="748" w:type="pct"/>
            <w:vMerge w:val="restart"/>
            <w:vAlign w:val="center"/>
          </w:tcPr>
          <w:p>
            <w:pPr>
              <w:pStyle w:val="78"/>
              <w:spacing w:before="0" w:beforeLines="0" w:line="240" w:lineRule="auto"/>
              <w:ind w:right="263"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培训地点</w:t>
            </w:r>
          </w:p>
        </w:tc>
        <w:tc>
          <w:tcPr>
            <w:tcW w:w="768" w:type="pct"/>
            <w:vMerge w:val="restar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培训内容</w:t>
            </w:r>
          </w:p>
        </w:tc>
        <w:tc>
          <w:tcPr>
            <w:tcW w:w="2354" w:type="pct"/>
            <w:gridSpan w:val="4"/>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受培训人情况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4" w:type="pct"/>
            <w:vMerge w:val="continue"/>
            <w:tcBorders>
              <w:top w:val="nil"/>
            </w:tcBorders>
            <w:vAlign w:val="center"/>
          </w:tcPr>
          <w:p>
            <w:pPr>
              <w:spacing w:before="0" w:beforeLines="0" w:line="240" w:lineRule="auto"/>
              <w:ind w:firstLine="0" w:firstLineChars="0"/>
              <w:jc w:val="center"/>
              <w:rPr>
                <w:color w:val="000000" w:themeColor="text1"/>
                <w:sz w:val="21"/>
                <w:szCs w:val="21"/>
                <w14:textFill>
                  <w14:solidFill>
                    <w14:schemeClr w14:val="tx1"/>
                  </w14:solidFill>
                </w14:textFill>
              </w:rPr>
            </w:pPr>
          </w:p>
        </w:tc>
        <w:tc>
          <w:tcPr>
            <w:tcW w:w="736" w:type="pct"/>
            <w:vMerge w:val="continue"/>
            <w:tcBorders>
              <w:top w:val="nil"/>
            </w:tcBorders>
            <w:vAlign w:val="center"/>
          </w:tcPr>
          <w:p>
            <w:pPr>
              <w:spacing w:before="0" w:beforeLines="0" w:line="240" w:lineRule="auto"/>
              <w:ind w:firstLine="0" w:firstLineChars="0"/>
              <w:jc w:val="center"/>
              <w:rPr>
                <w:color w:val="000000" w:themeColor="text1"/>
                <w:sz w:val="21"/>
                <w:szCs w:val="21"/>
                <w14:textFill>
                  <w14:solidFill>
                    <w14:schemeClr w14:val="tx1"/>
                  </w14:solidFill>
                </w14:textFill>
              </w:rPr>
            </w:pPr>
          </w:p>
        </w:tc>
        <w:tc>
          <w:tcPr>
            <w:tcW w:w="748" w:type="pct"/>
            <w:vMerge w:val="continue"/>
            <w:tcBorders>
              <w:top w:val="nil"/>
            </w:tcBorders>
            <w:vAlign w:val="center"/>
          </w:tcPr>
          <w:p>
            <w:pPr>
              <w:spacing w:before="0" w:beforeLines="0" w:line="240" w:lineRule="auto"/>
              <w:ind w:firstLine="0" w:firstLineChars="0"/>
              <w:jc w:val="center"/>
              <w:rPr>
                <w:color w:val="000000" w:themeColor="text1"/>
                <w:sz w:val="21"/>
                <w:szCs w:val="21"/>
                <w14:textFill>
                  <w14:solidFill>
                    <w14:schemeClr w14:val="tx1"/>
                  </w14:solidFill>
                </w14:textFill>
              </w:rPr>
            </w:pPr>
          </w:p>
        </w:tc>
        <w:tc>
          <w:tcPr>
            <w:tcW w:w="768" w:type="pct"/>
            <w:vMerge w:val="continue"/>
            <w:tcBorders>
              <w:top w:val="nil"/>
            </w:tcBorders>
            <w:vAlign w:val="center"/>
          </w:tcPr>
          <w:p>
            <w:pPr>
              <w:spacing w:before="0" w:beforeLines="0" w:line="240" w:lineRule="auto"/>
              <w:ind w:firstLine="0" w:firstLineChars="0"/>
              <w:jc w:val="center"/>
              <w:rPr>
                <w:color w:val="000000" w:themeColor="text1"/>
                <w:sz w:val="21"/>
                <w:szCs w:val="21"/>
                <w14:textFill>
                  <w14:solidFill>
                    <w14:schemeClr w14:val="tx1"/>
                  </w14:solidFill>
                </w14:textFill>
              </w:rPr>
            </w:pPr>
          </w:p>
        </w:tc>
        <w:tc>
          <w:tcPr>
            <w:tcW w:w="596" w:type="pc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年龄</w:t>
            </w:r>
          </w:p>
        </w:tc>
        <w:tc>
          <w:tcPr>
            <w:tcW w:w="595" w:type="pc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工种</w:t>
            </w:r>
          </w:p>
        </w:tc>
        <w:tc>
          <w:tcPr>
            <w:tcW w:w="527" w:type="pc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职务</w:t>
            </w:r>
          </w:p>
        </w:tc>
        <w:tc>
          <w:tcPr>
            <w:tcW w:w="636" w:type="pct"/>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签名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4"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4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6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5"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27"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6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4"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4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6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5"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27"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6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4"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4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768"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95"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527"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c>
          <w:tcPr>
            <w:tcW w:w="636" w:type="pct"/>
            <w:vAlign w:val="center"/>
          </w:tcPr>
          <w:p>
            <w:pPr>
              <w:pStyle w:val="78"/>
              <w:spacing w:before="0" w:beforeLines="0" w:line="240" w:lineRule="auto"/>
              <w:ind w:firstLine="0" w:firstLineChars="0"/>
              <w:jc w:val="center"/>
              <w:rPr>
                <w:rFonts w:ascii="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8"/>
            <w:vAlign w:val="center"/>
          </w:tcPr>
          <w:p>
            <w:pPr>
              <w:pStyle w:val="78"/>
              <w:spacing w:before="0" w:beforeLines="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主讲人签字：</w:t>
            </w:r>
            <w:r>
              <w:rPr>
                <w:rFonts w:hint="eastAsia"/>
                <w:color w:val="000000" w:themeColor="text1"/>
                <w:sz w:val="21"/>
                <w:szCs w:val="21"/>
                <w:lang w:val="en-US"/>
                <w14:textFill>
                  <w14:solidFill>
                    <w14:schemeClr w14:val="tx1"/>
                  </w14:solidFill>
                </w14:textFill>
              </w:rPr>
              <w:t xml:space="preserve">           </w:t>
            </w:r>
            <w:r>
              <w:rPr>
                <w:color w:val="000000" w:themeColor="text1"/>
                <w:sz w:val="21"/>
                <w:szCs w:val="21"/>
                <w14:textFill>
                  <w14:solidFill>
                    <w14:schemeClr w14:val="tx1"/>
                  </w14:solidFill>
                </w14:textFill>
              </w:rPr>
              <w:t>填表人：</w:t>
            </w:r>
            <w:r>
              <w:rPr>
                <w:rFonts w:hint="eastAsia"/>
                <w:color w:val="000000" w:themeColor="text1"/>
                <w:sz w:val="21"/>
                <w:szCs w:val="21"/>
                <w:lang w:val="en-US"/>
                <w14:textFill>
                  <w14:solidFill>
                    <w14:schemeClr w14:val="tx1"/>
                  </w14:solidFill>
                </w14:textFill>
              </w:rPr>
              <w:t xml:space="preserve">                </w:t>
            </w:r>
            <w:r>
              <w:rPr>
                <w:color w:val="000000" w:themeColor="text1"/>
                <w:sz w:val="21"/>
                <w:szCs w:val="21"/>
                <w14:textFill>
                  <w14:solidFill>
                    <w14:schemeClr w14:val="tx1"/>
                  </w14:solidFill>
                </w14:textFill>
              </w:rPr>
              <w:t>填表日期：</w:t>
            </w:r>
            <w:r>
              <w:rPr>
                <w:rFonts w:hint="eastAsia"/>
                <w:color w:val="000000" w:themeColor="text1"/>
                <w:sz w:val="21"/>
                <w:szCs w:val="21"/>
                <w:lang w:val="en-US"/>
                <w14:textFill>
                  <w14:solidFill>
                    <w14:schemeClr w14:val="tx1"/>
                  </w14:solidFill>
                </w14:textFill>
              </w:rPr>
              <w:t xml:space="preserve">    </w:t>
            </w:r>
            <w:r>
              <w:rPr>
                <w:color w:val="000000" w:themeColor="text1"/>
                <w:sz w:val="21"/>
                <w:szCs w:val="21"/>
                <w14:textFill>
                  <w14:solidFill>
                    <w14:schemeClr w14:val="tx1"/>
                  </w14:solidFill>
                </w14:textFill>
              </w:rPr>
              <w:t>年</w:t>
            </w:r>
            <w:r>
              <w:rPr>
                <w:rFonts w:hint="eastAsia"/>
                <w:color w:val="000000" w:themeColor="text1"/>
                <w:sz w:val="21"/>
                <w:szCs w:val="21"/>
                <w:lang w:val="en-US"/>
                <w14:textFill>
                  <w14:solidFill>
                    <w14:schemeClr w14:val="tx1"/>
                  </w14:solidFill>
                </w14:textFill>
              </w:rPr>
              <w:t xml:space="preserve">   </w:t>
            </w:r>
            <w:r>
              <w:rPr>
                <w:color w:val="000000" w:themeColor="text1"/>
                <w:sz w:val="21"/>
                <w:szCs w:val="21"/>
                <w14:textFill>
                  <w14:solidFill>
                    <w14:schemeClr w14:val="tx1"/>
                  </w14:solidFill>
                </w14:textFill>
              </w:rPr>
              <w:t>月</w:t>
            </w:r>
            <w:r>
              <w:rPr>
                <w:rFonts w:hint="eastAsia"/>
                <w:color w:val="000000" w:themeColor="text1"/>
                <w:sz w:val="21"/>
                <w:szCs w:val="21"/>
                <w:lang w:val="en-US"/>
                <w14:textFill>
                  <w14:solidFill>
                    <w14:schemeClr w14:val="tx1"/>
                  </w14:solidFill>
                </w14:textFill>
              </w:rPr>
              <w:t xml:space="preserve">   </w:t>
            </w:r>
            <w:r>
              <w:rPr>
                <w:color w:val="000000" w:themeColor="text1"/>
                <w:sz w:val="21"/>
                <w:szCs w:val="21"/>
                <w14:textFill>
                  <w14:solidFill>
                    <w14:schemeClr w14:val="tx1"/>
                  </w14:solidFill>
                </w14:textFill>
              </w:rPr>
              <w:t>日</w:t>
            </w:r>
          </w:p>
        </w:tc>
      </w:tr>
    </w:tbl>
    <w:p>
      <w:pPr>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应急救援演练记录表</w:t>
      </w:r>
    </w:p>
    <w:p>
      <w:pPr>
        <w:spacing w:before="163"/>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单位名称：</w:t>
      </w:r>
    </w:p>
    <w:tbl>
      <w:tblPr>
        <w:tblStyle w:val="5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37"/>
        <w:gridCol w:w="121"/>
        <w:gridCol w:w="1037"/>
        <w:gridCol w:w="516"/>
        <w:gridCol w:w="1245"/>
        <w:gridCol w:w="1283"/>
        <w:gridCol w:w="1434"/>
        <w:gridCol w:w="11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924" w:type="pct"/>
            <w:tcBorders>
              <w:bottom w:val="single" w:color="000000" w:sz="6" w:space="0"/>
              <w:right w:val="single" w:color="000000" w:sz="6" w:space="0"/>
            </w:tcBorders>
          </w:tcPr>
          <w:p>
            <w:pPr>
              <w:pStyle w:val="78"/>
              <w:spacing w:before="0" w:beforeLines="0" w:line="240" w:lineRule="auto"/>
              <w:ind w:left="228" w:right="216"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预案名称</w:t>
            </w:r>
          </w:p>
        </w:tc>
        <w:tc>
          <w:tcPr>
            <w:tcW w:w="696" w:type="pct"/>
            <w:gridSpan w:val="2"/>
            <w:tcBorders>
              <w:left w:val="single" w:color="000000" w:sz="6" w:space="0"/>
              <w:bottom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1058" w:type="pct"/>
            <w:gridSpan w:val="2"/>
            <w:tcBorders>
              <w:left w:val="single" w:color="000000" w:sz="6" w:space="0"/>
              <w:bottom w:val="single" w:color="000000" w:sz="6" w:space="0"/>
              <w:right w:val="single" w:color="000000" w:sz="6" w:space="0"/>
            </w:tcBorders>
          </w:tcPr>
          <w:p>
            <w:pPr>
              <w:pStyle w:val="78"/>
              <w:spacing w:before="0" w:beforeLines="0" w:line="240" w:lineRule="auto"/>
              <w:ind w:left="488"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演练时间</w:t>
            </w:r>
          </w:p>
        </w:tc>
        <w:tc>
          <w:tcPr>
            <w:tcW w:w="771" w:type="pct"/>
            <w:tcBorders>
              <w:left w:val="single" w:color="000000" w:sz="6" w:space="0"/>
              <w:bottom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862" w:type="pct"/>
            <w:tcBorders>
              <w:left w:val="single" w:color="000000" w:sz="6" w:space="0"/>
              <w:bottom w:val="single" w:color="000000" w:sz="6" w:space="0"/>
              <w:right w:val="single" w:color="000000" w:sz="6" w:space="0"/>
            </w:tcBorders>
          </w:tcPr>
          <w:p>
            <w:pPr>
              <w:pStyle w:val="78"/>
              <w:spacing w:before="0" w:beforeLines="0" w:line="240" w:lineRule="auto"/>
              <w:ind w:right="297" w:firstLine="0" w:firstLineChars="0"/>
              <w:jc w:val="righ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演练地点</w:t>
            </w:r>
          </w:p>
        </w:tc>
        <w:tc>
          <w:tcPr>
            <w:tcW w:w="686" w:type="pct"/>
            <w:tcBorders>
              <w:left w:val="single" w:color="000000" w:sz="6" w:space="0"/>
              <w:bottom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24" w:type="pct"/>
            <w:tcBorders>
              <w:top w:val="single" w:color="000000" w:sz="6" w:space="0"/>
              <w:bottom w:val="single" w:color="000000" w:sz="6" w:space="0"/>
              <w:right w:val="single" w:color="000000" w:sz="6" w:space="0"/>
            </w:tcBorders>
          </w:tcPr>
          <w:p>
            <w:pPr>
              <w:pStyle w:val="78"/>
              <w:spacing w:before="0" w:beforeLines="0" w:line="240" w:lineRule="auto"/>
              <w:ind w:left="228" w:right="216"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演练总指挥</w:t>
            </w:r>
          </w:p>
        </w:tc>
        <w:tc>
          <w:tcPr>
            <w:tcW w:w="696" w:type="pct"/>
            <w:gridSpan w:val="2"/>
            <w:tcBorders>
              <w:top w:val="single" w:color="000000" w:sz="6" w:space="0"/>
              <w:left w:val="single" w:color="000000" w:sz="6" w:space="0"/>
              <w:bottom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1058" w:type="pct"/>
            <w:gridSpan w:val="2"/>
            <w:tcBorders>
              <w:top w:val="single" w:color="000000" w:sz="6" w:space="0"/>
              <w:left w:val="single" w:color="000000" w:sz="6" w:space="0"/>
              <w:bottom w:val="single" w:color="000000" w:sz="6" w:space="0"/>
              <w:right w:val="single" w:color="000000" w:sz="6" w:space="0"/>
            </w:tcBorders>
          </w:tcPr>
          <w:p>
            <w:pPr>
              <w:pStyle w:val="78"/>
              <w:spacing w:before="0" w:beforeLines="0" w:line="240" w:lineRule="auto"/>
              <w:ind w:left="128"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参演部门及人数</w:t>
            </w:r>
          </w:p>
        </w:tc>
        <w:tc>
          <w:tcPr>
            <w:tcW w:w="771" w:type="pct"/>
            <w:tcBorders>
              <w:top w:val="single" w:color="000000" w:sz="6" w:space="0"/>
              <w:left w:val="single" w:color="000000" w:sz="6" w:space="0"/>
              <w:bottom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862" w:type="pct"/>
            <w:tcBorders>
              <w:top w:val="single" w:color="000000" w:sz="6" w:space="0"/>
              <w:left w:val="single" w:color="000000" w:sz="6" w:space="0"/>
              <w:bottom w:val="single" w:color="000000" w:sz="6" w:space="0"/>
              <w:right w:val="single" w:color="000000" w:sz="6" w:space="0"/>
            </w:tcBorders>
          </w:tcPr>
          <w:p>
            <w:pPr>
              <w:pStyle w:val="78"/>
              <w:spacing w:before="0" w:beforeLines="0" w:line="240" w:lineRule="auto"/>
              <w:ind w:right="297" w:firstLine="0" w:firstLineChars="0"/>
              <w:jc w:val="righ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演练目的</w:t>
            </w:r>
          </w:p>
        </w:tc>
        <w:tc>
          <w:tcPr>
            <w:tcW w:w="686" w:type="pct"/>
            <w:tcBorders>
              <w:top w:val="single" w:color="000000" w:sz="6" w:space="0"/>
              <w:left w:val="single" w:color="000000" w:sz="6" w:space="0"/>
              <w:bottom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trPr>
        <w:tc>
          <w:tcPr>
            <w:tcW w:w="5000" w:type="pct"/>
            <w:gridSpan w:val="8"/>
            <w:tcBorders>
              <w:top w:val="single" w:color="000000" w:sz="6" w:space="0"/>
              <w:bottom w:val="single" w:color="000000" w:sz="6" w:space="0"/>
            </w:tcBorders>
          </w:tcPr>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演练流程图：</w:t>
            </w:r>
          </w:p>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p>
          <w:p>
            <w:pPr>
              <w:pStyle w:val="78"/>
              <w:spacing w:before="0" w:beforeLines="0" w:line="240" w:lineRule="auto"/>
              <w:ind w:left="3" w:firstLine="0" w:firstLineChars="0"/>
              <w:rPr>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6" w:hRule="atLeast"/>
        </w:trPr>
        <w:tc>
          <w:tcPr>
            <w:tcW w:w="5000" w:type="pct"/>
            <w:gridSpan w:val="8"/>
            <w:tcBorders>
              <w:top w:val="single" w:color="000000" w:sz="6" w:space="0"/>
              <w:bottom w:val="single" w:color="000000" w:sz="6" w:space="0"/>
            </w:tcBorders>
          </w:tcPr>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演练效果评估（存在的问题和不足，修订预案的建议）：</w:t>
            </w:r>
          </w:p>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p>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p>
          <w:p>
            <w:pPr>
              <w:pStyle w:val="78"/>
              <w:spacing w:before="0" w:beforeLines="0" w:line="240" w:lineRule="auto"/>
              <w:ind w:left="2" w:leftChars="1" w:firstLine="210" w:firstLineChars="100"/>
              <w:rPr>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7" w:type="pct"/>
            <w:gridSpan w:val="2"/>
            <w:tcBorders>
              <w:top w:val="single" w:color="000000" w:sz="6" w:space="0"/>
              <w:right w:val="single" w:color="000000" w:sz="6" w:space="0"/>
            </w:tcBorders>
          </w:tcPr>
          <w:p>
            <w:pPr>
              <w:pStyle w:val="78"/>
              <w:spacing w:before="0" w:beforeLines="0" w:line="240" w:lineRule="auto"/>
              <w:ind w:left="193"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演练负责人：</w:t>
            </w:r>
          </w:p>
        </w:tc>
        <w:tc>
          <w:tcPr>
            <w:tcW w:w="933" w:type="pct"/>
            <w:gridSpan w:val="2"/>
            <w:tcBorders>
              <w:top w:val="single" w:color="000000" w:sz="6" w:space="0"/>
              <w:left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748" w:type="pct"/>
            <w:tcBorders>
              <w:top w:val="single" w:color="000000" w:sz="6" w:space="0"/>
              <w:left w:val="single" w:color="000000" w:sz="6" w:space="0"/>
              <w:right w:val="single" w:color="000000" w:sz="6" w:space="0"/>
            </w:tcBorders>
          </w:tcPr>
          <w:p>
            <w:pPr>
              <w:pStyle w:val="78"/>
              <w:spacing w:before="0" w:beforeLines="0" w:line="240" w:lineRule="auto"/>
              <w:ind w:left="203"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填表人：</w:t>
            </w:r>
          </w:p>
        </w:tc>
        <w:tc>
          <w:tcPr>
            <w:tcW w:w="771" w:type="pct"/>
            <w:tcBorders>
              <w:top w:val="single" w:color="000000" w:sz="6" w:space="0"/>
              <w:left w:val="single" w:color="000000" w:sz="6" w:space="0"/>
              <w:righ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c>
          <w:tcPr>
            <w:tcW w:w="862" w:type="pct"/>
            <w:tcBorders>
              <w:top w:val="single" w:color="000000" w:sz="6" w:space="0"/>
              <w:left w:val="single" w:color="000000" w:sz="6" w:space="0"/>
              <w:right w:val="single" w:color="000000" w:sz="6" w:space="0"/>
            </w:tcBorders>
          </w:tcPr>
          <w:p>
            <w:pPr>
              <w:pStyle w:val="78"/>
              <w:spacing w:before="0" w:beforeLines="0" w:line="240" w:lineRule="auto"/>
              <w:ind w:right="297" w:firstLine="0" w:firstLineChars="0"/>
              <w:jc w:val="righ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联系电话</w:t>
            </w:r>
          </w:p>
        </w:tc>
        <w:tc>
          <w:tcPr>
            <w:tcW w:w="686" w:type="pct"/>
            <w:tcBorders>
              <w:top w:val="single" w:color="000000" w:sz="6" w:space="0"/>
              <w:left w:val="single" w:color="000000" w:sz="6" w:space="0"/>
            </w:tcBorders>
          </w:tcPr>
          <w:p>
            <w:pPr>
              <w:pStyle w:val="78"/>
              <w:spacing w:before="0" w:beforeLines="0" w:line="240" w:lineRule="auto"/>
              <w:ind w:firstLine="0" w:firstLineChars="0"/>
              <w:rPr>
                <w:rFonts w:ascii="Times New Roman"/>
                <w:color w:val="000000" w:themeColor="text1"/>
                <w:sz w:val="21"/>
                <w:szCs w:val="21"/>
                <w14:textFill>
                  <w14:solidFill>
                    <w14:schemeClr w14:val="tx1"/>
                  </w14:solidFill>
                </w14:textFill>
              </w:rPr>
            </w:pPr>
          </w:p>
        </w:tc>
      </w:tr>
    </w:tbl>
    <w:p>
      <w:pPr>
        <w:pStyle w:val="5"/>
        <w:spacing w:before="0" w:beforeLines="0"/>
        <w:ind w:left="281" w:hanging="281"/>
        <w:rPr>
          <w:color w:val="000000" w:themeColor="text1"/>
          <w14:textFill>
            <w14:solidFill>
              <w14:schemeClr w14:val="tx1"/>
            </w14:solidFill>
          </w14:textFill>
        </w:rPr>
      </w:pPr>
      <w:bookmarkStart w:id="142" w:name="_Toc116110987"/>
      <w:r>
        <w:rPr>
          <w:color w:val="000000" w:themeColor="text1"/>
          <w14:textFill>
            <w14:solidFill>
              <w14:schemeClr w14:val="tx1"/>
            </w14:solidFill>
          </w14:textFill>
        </w:rPr>
        <w:t>8</w:t>
      </w:r>
      <w:r>
        <w:rPr>
          <w:rFonts w:hint="eastAsia"/>
          <w:color w:val="000000" w:themeColor="text1"/>
          <w14:textFill>
            <w14:solidFill>
              <w14:schemeClr w14:val="tx1"/>
            </w14:solidFill>
          </w14:textFill>
        </w:rPr>
        <w:t>.2.2演练对象和目的</w:t>
      </w:r>
      <w:bookmarkEnd w:id="14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演练对象包括高新区应急指挥部及园区各企业应急救援人员，演练目的是为了在保证安全的前提下能够把各级应急救援力量和应该配备的器材组成统一的整体，使指挥人员、各专业救援队伍、各企业熟悉自己的职责和任务。</w:t>
      </w:r>
    </w:p>
    <w:p>
      <w:pPr>
        <w:pStyle w:val="5"/>
        <w:spacing w:before="0" w:beforeLines="0"/>
        <w:ind w:left="281" w:hanging="281"/>
        <w:rPr>
          <w:color w:val="000000" w:themeColor="text1"/>
          <w14:textFill>
            <w14:solidFill>
              <w14:schemeClr w14:val="tx1"/>
            </w14:solidFill>
          </w14:textFill>
        </w:rPr>
      </w:pPr>
      <w:bookmarkStart w:id="143" w:name="_Toc116110988"/>
      <w:r>
        <w:rPr>
          <w:color w:val="000000" w:themeColor="text1"/>
          <w14:textFill>
            <w14:solidFill>
              <w14:schemeClr w14:val="tx1"/>
            </w14:solidFill>
          </w14:textFill>
        </w:rPr>
        <w:t>8</w:t>
      </w:r>
      <w:r>
        <w:rPr>
          <w:rFonts w:hint="eastAsia"/>
          <w:color w:val="000000" w:themeColor="text1"/>
          <w14:textFill>
            <w14:solidFill>
              <w14:schemeClr w14:val="tx1"/>
            </w14:solidFill>
          </w14:textFill>
        </w:rPr>
        <w:t>.2.3演练准备内容</w:t>
      </w:r>
      <w:bookmarkEnd w:id="143"/>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演练确定年度工作计划时，制订演练方案，按演练级别报高新区环境应急指挥部审批；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演练前应落实所需的各种器材装备与物资、交通车辆、防护器材的准备，以确保演练顺利进行；</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演练前应通知周边社区、园区企业人员，必要时与新闻媒体沟通，以避免造成不必要的影响。包括：</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（1）应急救援</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（2）消毒及洗消处理；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（3）通信及报警信号的联络；</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（4）染毒空气监测；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（5）防护指导，包括专业人员的个人防护及员工的自我防护；</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（6）各种标志、设置警戒范围及人员控制；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（7）园区周边交通控制及管理；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（8）泄漏污染区域内人员的疏散撤离及人员清查；</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（9）急救及医疗；</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（10）向上级报告情况；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w:t>
      </w:r>
      <w:r>
        <w:rPr>
          <w:rFonts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）事故的善后工作。</w:t>
      </w:r>
    </w:p>
    <w:p>
      <w:pPr>
        <w:pStyle w:val="5"/>
        <w:spacing w:before="0" w:beforeLines="0"/>
        <w:ind w:left="281" w:hanging="281"/>
        <w:rPr>
          <w:color w:val="000000" w:themeColor="text1"/>
          <w14:textFill>
            <w14:solidFill>
              <w14:schemeClr w14:val="tx1"/>
            </w14:solidFill>
          </w14:textFill>
        </w:rPr>
      </w:pPr>
      <w:bookmarkStart w:id="144" w:name="_Toc116110989"/>
      <w:r>
        <w:rPr>
          <w:color w:val="000000" w:themeColor="text1"/>
          <w14:textFill>
            <w14:solidFill>
              <w14:schemeClr w14:val="tx1"/>
            </w14:solidFill>
          </w14:textFill>
        </w:rPr>
        <w:t>8</w:t>
      </w:r>
      <w:r>
        <w:rPr>
          <w:rFonts w:hint="eastAsia"/>
          <w:color w:val="000000" w:themeColor="text1"/>
          <w14:textFill>
            <w14:solidFill>
              <w14:schemeClr w14:val="tx1"/>
            </w14:solidFill>
          </w14:textFill>
        </w:rPr>
        <w:t>.2.4演练范围、组织与频次</w:t>
      </w:r>
      <w:bookmarkEnd w:id="144"/>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1、演练范围、组织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演练范围、组织主要是根据预案应急事故的等级来确定，具体见表8.2-1。此外，高新区应急指挥部还应参与、指导相关企业（或事业）单位环境应急预案的演练。</w:t>
      </w:r>
    </w:p>
    <w:p>
      <w:pPr>
        <w:spacing w:before="163"/>
        <w:ind w:firstLine="997" w:firstLineChars="475"/>
        <w:rPr>
          <w:rFonts w:asciiTheme="minorEastAsia" w:hAnsiTheme="minorEastAsia" w:eastAsiaTheme="minorEastAsia"/>
          <w:bCs/>
          <w:color w:val="000000" w:themeColor="text1"/>
          <w:sz w:val="21"/>
          <w:szCs w:val="21"/>
          <w14:textFill>
            <w14:solidFill>
              <w14:schemeClr w14:val="tx1"/>
            </w14:solidFill>
          </w14:textFill>
        </w:rPr>
      </w:pPr>
      <w:r>
        <w:rPr>
          <w:rFonts w:hint="eastAsia" w:asciiTheme="minorEastAsia" w:hAnsiTheme="minorEastAsia" w:eastAsiaTheme="minorEastAsia"/>
          <w:bCs/>
          <w:color w:val="000000" w:themeColor="text1"/>
          <w:sz w:val="21"/>
          <w:szCs w:val="21"/>
          <w14:textFill>
            <w14:solidFill>
              <w14:schemeClr w14:val="tx1"/>
            </w14:solidFill>
          </w14:textFill>
        </w:rPr>
        <w:t>表 8.2</w:t>
      </w:r>
      <w:r>
        <w:rPr>
          <w:rFonts w:asciiTheme="minorEastAsia" w:hAnsiTheme="minorEastAsia" w:eastAsiaTheme="minorEastAsia"/>
          <w:bCs/>
          <w:color w:val="000000" w:themeColor="text1"/>
          <w:sz w:val="21"/>
          <w:szCs w:val="21"/>
          <w14:textFill>
            <w14:solidFill>
              <w14:schemeClr w14:val="tx1"/>
            </w14:solidFill>
          </w14:textFill>
        </w:rPr>
        <w:t>-1</w:t>
      </w:r>
      <w:r>
        <w:rPr>
          <w:rFonts w:hint="eastAsia" w:asciiTheme="minorEastAsia" w:hAnsiTheme="minorEastAsia" w:eastAsiaTheme="minorEastAsia"/>
          <w:bCs/>
          <w:color w:val="000000" w:themeColor="text1"/>
          <w:sz w:val="21"/>
          <w:szCs w:val="21"/>
          <w14:textFill>
            <w14:solidFill>
              <w14:schemeClr w14:val="tx1"/>
            </w14:solidFill>
          </w14:textFill>
        </w:rPr>
        <w:t xml:space="preserve">         </w:t>
      </w:r>
      <w:r>
        <w:rPr>
          <w:rFonts w:asciiTheme="minorEastAsia" w:hAnsiTheme="minorEastAsia" w:eastAsiaTheme="minorEastAsia"/>
          <w:bCs/>
          <w:color w:val="000000" w:themeColor="text1"/>
          <w:sz w:val="21"/>
          <w:szCs w:val="21"/>
          <w14:textFill>
            <w14:solidFill>
              <w14:schemeClr w14:val="tx1"/>
            </w14:solidFill>
          </w14:textFill>
        </w:rPr>
        <w:t xml:space="preserve"> </w:t>
      </w:r>
      <w:r>
        <w:rPr>
          <w:rFonts w:hint="eastAsia" w:asciiTheme="minorEastAsia" w:hAnsiTheme="minorEastAsia" w:eastAsiaTheme="minorEastAsia"/>
          <w:bCs/>
          <w:color w:val="000000" w:themeColor="text1"/>
          <w:sz w:val="21"/>
          <w:szCs w:val="21"/>
          <w14:textFill>
            <w14:solidFill>
              <w14:schemeClr w14:val="tx1"/>
            </w14:solidFill>
          </w14:textFill>
        </w:rPr>
        <w:t>演练组织及演练范围一览表</w:t>
      </w:r>
    </w:p>
    <w:tbl>
      <w:tblPr>
        <w:tblStyle w:val="54"/>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17"/>
        <w:gridCol w:w="2012"/>
        <w:gridCol w:w="47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1" w:hRule="atLeast"/>
        </w:trPr>
        <w:tc>
          <w:tcPr>
            <w:tcW w:w="912"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应急事故等级</w:t>
            </w:r>
          </w:p>
        </w:tc>
        <w:tc>
          <w:tcPr>
            <w:tcW w:w="120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演练范围</w:t>
            </w:r>
          </w:p>
        </w:tc>
        <w:tc>
          <w:tcPr>
            <w:tcW w:w="287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演练组织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912"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重大突发</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环境事件</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（Ⅰ 级）</w:t>
            </w:r>
          </w:p>
        </w:tc>
        <w:tc>
          <w:tcPr>
            <w:tcW w:w="120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整个</w:t>
            </w:r>
            <w:r>
              <w:rPr>
                <w:rFonts w:hint="eastAsia" w:ascii="宋体" w:hAnsi="宋体" w:cs="宋体"/>
                <w:color w:val="000000" w:themeColor="text1"/>
                <w:sz w:val="21"/>
                <w:szCs w:val="21"/>
                <w:lang w:val="zh-CN" w:bidi="zh-CN"/>
                <w14:textFill>
                  <w14:solidFill>
                    <w14:schemeClr w14:val="tx1"/>
                  </w14:solidFill>
                </w14:textFill>
              </w:rPr>
              <w:t>园区</w:t>
            </w:r>
            <w:r>
              <w:rPr>
                <w:rFonts w:ascii="宋体" w:hAnsi="宋体" w:cs="宋体"/>
                <w:color w:val="000000" w:themeColor="text1"/>
                <w:sz w:val="21"/>
                <w:szCs w:val="21"/>
                <w:lang w:val="zh-CN" w:bidi="zh-CN"/>
                <w14:textFill>
                  <w14:solidFill>
                    <w14:schemeClr w14:val="tx1"/>
                  </w14:solidFill>
                </w14:textFill>
              </w:rPr>
              <w:t>范围及外部区域</w:t>
            </w:r>
          </w:p>
        </w:tc>
        <w:tc>
          <w:tcPr>
            <w:tcW w:w="287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由</w:t>
            </w:r>
            <w:r>
              <w:rPr>
                <w:rFonts w:hint="eastAsia" w:ascii="宋体" w:hAnsi="宋体" w:cs="宋体"/>
                <w:color w:val="000000" w:themeColor="text1"/>
                <w:sz w:val="21"/>
                <w:szCs w:val="21"/>
                <w:lang w:val="zh-CN" w:bidi="zh-CN"/>
                <w14:textFill>
                  <w14:solidFill>
                    <w14:schemeClr w14:val="tx1"/>
                  </w14:solidFill>
                </w14:textFill>
              </w:rPr>
              <w:t>抚顺</w:t>
            </w:r>
            <w:r>
              <w:rPr>
                <w:rFonts w:ascii="宋体" w:hAnsi="宋体" w:cs="宋体"/>
                <w:color w:val="000000" w:themeColor="text1"/>
                <w:sz w:val="21"/>
                <w:szCs w:val="21"/>
                <w:lang w:val="zh-CN" w:bidi="zh-CN"/>
                <w14:textFill>
                  <w14:solidFill>
                    <w14:schemeClr w14:val="tx1"/>
                  </w14:solidFill>
                </w14:textFill>
              </w:rPr>
              <w:t>市应急主管部门、</w:t>
            </w:r>
            <w:r>
              <w:rPr>
                <w:rFonts w:hint="eastAsia" w:ascii="宋体" w:hAnsi="宋体" w:cs="宋体"/>
                <w:color w:val="000000" w:themeColor="text1"/>
                <w:sz w:val="21"/>
                <w:szCs w:val="21"/>
                <w:lang w:val="zh-CN" w:bidi="zh-CN"/>
                <w14:textFill>
                  <w14:solidFill>
                    <w14:schemeClr w14:val="tx1"/>
                  </w14:solidFill>
                </w14:textFill>
              </w:rPr>
              <w:t>东洲区</w:t>
            </w:r>
            <w:r>
              <w:rPr>
                <w:rFonts w:ascii="宋体" w:hAnsi="宋体" w:cs="宋体"/>
                <w:color w:val="000000" w:themeColor="text1"/>
                <w:sz w:val="21"/>
                <w:szCs w:val="21"/>
                <w:lang w:val="zh-CN" w:bidi="zh-CN"/>
                <w14:textFill>
                  <w14:solidFill>
                    <w14:schemeClr w14:val="tx1"/>
                  </w14:solidFill>
                </w14:textFill>
              </w:rPr>
              <w:t>应急主管部门、</w:t>
            </w:r>
            <w:r>
              <w:rPr>
                <w:rFonts w:hint="eastAsia" w:ascii="宋体" w:hAnsi="宋体" w:cs="宋体"/>
                <w:color w:val="000000" w:themeColor="text1"/>
                <w:sz w:val="21"/>
                <w:szCs w:val="21"/>
                <w:lang w:val="zh-CN" w:bidi="zh-CN"/>
                <w14:textFill>
                  <w14:solidFill>
                    <w14:schemeClr w14:val="tx1"/>
                  </w14:solidFill>
                </w14:textFill>
              </w:rPr>
              <w:t>高新</w:t>
            </w:r>
            <w:r>
              <w:rPr>
                <w:rFonts w:ascii="宋体" w:hAnsi="宋体" w:cs="宋体"/>
                <w:color w:val="000000" w:themeColor="text1"/>
                <w:sz w:val="21"/>
                <w:szCs w:val="21"/>
                <w:lang w:val="zh-CN" w:bidi="zh-CN"/>
                <w14:textFill>
                  <w14:solidFill>
                    <w14:schemeClr w14:val="tx1"/>
                  </w14:solidFill>
                </w14:textFill>
              </w:rPr>
              <w:t>区应急指挥部以及</w:t>
            </w:r>
            <w:r>
              <w:rPr>
                <w:rFonts w:hint="eastAsia" w:ascii="宋体" w:hAnsi="宋体" w:cs="宋体"/>
                <w:color w:val="000000" w:themeColor="text1"/>
                <w:sz w:val="21"/>
                <w:szCs w:val="21"/>
                <w:lang w:val="zh-CN" w:bidi="zh-CN"/>
                <w14:textFill>
                  <w14:solidFill>
                    <w14:schemeClr w14:val="tx1"/>
                  </w14:solidFill>
                </w14:textFill>
              </w:rPr>
              <w:t>高新</w:t>
            </w:r>
            <w:r>
              <w:rPr>
                <w:rFonts w:ascii="宋体" w:hAnsi="宋体" w:cs="宋体"/>
                <w:color w:val="000000" w:themeColor="text1"/>
                <w:sz w:val="21"/>
                <w:szCs w:val="21"/>
                <w:lang w:val="zh-CN" w:bidi="zh-CN"/>
                <w14:textFill>
                  <w14:solidFill>
                    <w14:schemeClr w14:val="tx1"/>
                  </w14:solidFill>
                </w14:textFill>
              </w:rPr>
              <w:t>区相关企业应急救援部门组织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2" w:hRule="atLeast"/>
        </w:trPr>
        <w:tc>
          <w:tcPr>
            <w:tcW w:w="912"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较大突发</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环境事件</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（Ⅱ级）</w:t>
            </w:r>
          </w:p>
        </w:tc>
        <w:tc>
          <w:tcPr>
            <w:tcW w:w="120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整个</w:t>
            </w:r>
            <w:r>
              <w:rPr>
                <w:rFonts w:hint="eastAsia" w:ascii="宋体" w:hAnsi="宋体" w:cs="宋体"/>
                <w:color w:val="000000" w:themeColor="text1"/>
                <w:sz w:val="21"/>
                <w:szCs w:val="21"/>
                <w:lang w:val="zh-CN" w:bidi="zh-CN"/>
                <w14:textFill>
                  <w14:solidFill>
                    <w14:schemeClr w14:val="tx1"/>
                  </w14:solidFill>
                </w14:textFill>
              </w:rPr>
              <w:t>园区</w:t>
            </w:r>
            <w:r>
              <w:rPr>
                <w:rFonts w:ascii="宋体" w:hAnsi="宋体" w:cs="宋体"/>
                <w:color w:val="000000" w:themeColor="text1"/>
                <w:sz w:val="21"/>
                <w:szCs w:val="21"/>
                <w:lang w:val="zh-CN" w:bidi="zh-CN"/>
                <w14:textFill>
                  <w14:solidFill>
                    <w14:schemeClr w14:val="tx1"/>
                  </w14:solidFill>
                </w14:textFill>
              </w:rPr>
              <w:t>范围</w:t>
            </w:r>
          </w:p>
        </w:tc>
        <w:tc>
          <w:tcPr>
            <w:tcW w:w="287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由</w:t>
            </w:r>
            <w:r>
              <w:rPr>
                <w:rFonts w:hint="eastAsia" w:ascii="宋体" w:hAnsi="宋体" w:cs="宋体"/>
                <w:color w:val="000000" w:themeColor="text1"/>
                <w:sz w:val="21"/>
                <w:szCs w:val="21"/>
                <w:lang w:val="zh-CN" w:bidi="zh-CN"/>
                <w14:textFill>
                  <w14:solidFill>
                    <w14:schemeClr w14:val="tx1"/>
                  </w14:solidFill>
                </w14:textFill>
              </w:rPr>
              <w:t>高新区</w:t>
            </w:r>
            <w:r>
              <w:rPr>
                <w:rFonts w:ascii="宋体" w:hAnsi="宋体" w:cs="宋体"/>
                <w:color w:val="000000" w:themeColor="text1"/>
                <w:sz w:val="21"/>
                <w:szCs w:val="21"/>
                <w:lang w:val="zh-CN" w:bidi="zh-CN"/>
                <w14:textFill>
                  <w14:solidFill>
                    <w14:schemeClr w14:val="tx1"/>
                  </w14:solidFill>
                </w14:textFill>
              </w:rPr>
              <w:t>应急指挥部以及</w:t>
            </w:r>
            <w:r>
              <w:rPr>
                <w:rFonts w:hint="eastAsia" w:ascii="宋体" w:hAnsi="宋体" w:cs="宋体"/>
                <w:color w:val="000000" w:themeColor="text1"/>
                <w:sz w:val="21"/>
                <w:szCs w:val="21"/>
                <w:lang w:val="zh-CN" w:bidi="zh-CN"/>
                <w14:textFill>
                  <w14:solidFill>
                    <w14:schemeClr w14:val="tx1"/>
                  </w14:solidFill>
                </w14:textFill>
              </w:rPr>
              <w:t>高新区</w:t>
            </w:r>
            <w:r>
              <w:rPr>
                <w:rFonts w:ascii="宋体" w:hAnsi="宋体" w:cs="宋体"/>
                <w:color w:val="000000" w:themeColor="text1"/>
                <w:sz w:val="21"/>
                <w:szCs w:val="21"/>
                <w:lang w:val="zh-CN" w:bidi="zh-CN"/>
                <w14:textFill>
                  <w14:solidFill>
                    <w14:schemeClr w14:val="tx1"/>
                  </w14:solidFill>
                </w14:textFill>
              </w:rPr>
              <w:t>相关企业应急救援部门组织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912"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一般</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环境事件</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（Ⅲ级）</w:t>
            </w:r>
          </w:p>
        </w:tc>
        <w:tc>
          <w:tcPr>
            <w:tcW w:w="120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企业和企业周边区域，影响范围扩大</w:t>
            </w:r>
          </w:p>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到园</w:t>
            </w:r>
            <w:r>
              <w:rPr>
                <w:rFonts w:hint="eastAsia" w:ascii="宋体" w:hAnsi="宋体" w:cs="宋体"/>
                <w:color w:val="000000" w:themeColor="text1"/>
                <w:sz w:val="21"/>
                <w:szCs w:val="21"/>
                <w:lang w:val="zh-CN" w:bidi="zh-CN"/>
                <w14:textFill>
                  <w14:solidFill>
                    <w14:schemeClr w14:val="tx1"/>
                  </w14:solidFill>
                </w14:textFill>
              </w:rPr>
              <w:t>区</w:t>
            </w:r>
          </w:p>
        </w:tc>
        <w:tc>
          <w:tcPr>
            <w:tcW w:w="2879" w:type="pct"/>
            <w:vAlign w:val="center"/>
          </w:tcPr>
          <w:p>
            <w:pPr>
              <w:autoSpaceDE w:val="0"/>
              <w:autoSpaceDN w:val="0"/>
              <w:spacing w:before="0" w:beforeLines="0" w:line="240" w:lineRule="auto"/>
              <w:ind w:left="120" w:leftChars="50" w:right="120" w:rightChars="50" w:firstLine="0" w:firstLineChars="0"/>
              <w:jc w:val="center"/>
              <w:rPr>
                <w:rFonts w:ascii="宋体" w:hAnsi="宋体" w:cs="宋体"/>
                <w:color w:val="000000" w:themeColor="text1"/>
                <w:sz w:val="21"/>
                <w:szCs w:val="21"/>
                <w:lang w:val="zh-CN" w:bidi="zh-CN"/>
                <w14:textFill>
                  <w14:solidFill>
                    <w14:schemeClr w14:val="tx1"/>
                  </w14:solidFill>
                </w14:textFill>
              </w:rPr>
            </w:pPr>
            <w:r>
              <w:rPr>
                <w:rFonts w:ascii="宋体" w:hAnsi="宋体" w:cs="宋体"/>
                <w:color w:val="000000" w:themeColor="text1"/>
                <w:sz w:val="21"/>
                <w:szCs w:val="21"/>
                <w:lang w:val="zh-CN" w:bidi="zh-CN"/>
                <w14:textFill>
                  <w14:solidFill>
                    <w14:schemeClr w14:val="tx1"/>
                  </w14:solidFill>
                </w14:textFill>
              </w:rPr>
              <w:t>由</w:t>
            </w:r>
            <w:r>
              <w:rPr>
                <w:rFonts w:hint="eastAsia" w:ascii="宋体" w:hAnsi="宋体" w:cs="宋体"/>
                <w:color w:val="000000" w:themeColor="text1"/>
                <w:sz w:val="21"/>
                <w:szCs w:val="21"/>
                <w:lang w:val="zh-CN" w:bidi="zh-CN"/>
                <w14:textFill>
                  <w14:solidFill>
                    <w14:schemeClr w14:val="tx1"/>
                  </w14:solidFill>
                </w14:textFill>
              </w:rPr>
              <w:t>高新区</w:t>
            </w:r>
            <w:r>
              <w:rPr>
                <w:rFonts w:ascii="宋体" w:hAnsi="宋体" w:cs="宋体"/>
                <w:color w:val="000000" w:themeColor="text1"/>
                <w:sz w:val="21"/>
                <w:szCs w:val="21"/>
                <w:lang w:val="zh-CN" w:bidi="zh-CN"/>
                <w14:textFill>
                  <w14:solidFill>
                    <w14:schemeClr w14:val="tx1"/>
                  </w14:solidFill>
                </w14:textFill>
              </w:rPr>
              <w:t>应急指挥部以及</w:t>
            </w:r>
            <w:r>
              <w:rPr>
                <w:rFonts w:hint="eastAsia" w:ascii="宋体" w:hAnsi="宋体" w:cs="宋体"/>
                <w:color w:val="000000" w:themeColor="text1"/>
                <w:sz w:val="21"/>
                <w:szCs w:val="21"/>
                <w:lang w:val="zh-CN" w:bidi="zh-CN"/>
                <w14:textFill>
                  <w14:solidFill>
                    <w14:schemeClr w14:val="tx1"/>
                  </w14:solidFill>
                </w14:textFill>
              </w:rPr>
              <w:t>高新区</w:t>
            </w:r>
            <w:r>
              <w:rPr>
                <w:rFonts w:ascii="宋体" w:hAnsi="宋体" w:cs="宋体"/>
                <w:color w:val="000000" w:themeColor="text1"/>
                <w:sz w:val="21"/>
                <w:szCs w:val="21"/>
                <w:lang w:val="zh-CN" w:bidi="zh-CN"/>
                <w14:textFill>
                  <w14:solidFill>
                    <w14:schemeClr w14:val="tx1"/>
                  </w14:solidFill>
                </w14:textFill>
              </w:rPr>
              <w:t>相关企业应急救援部门组织</w:t>
            </w:r>
          </w:p>
        </w:tc>
      </w:tr>
    </w:tbl>
    <w:p>
      <w:pPr>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2、演练频次</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相关单位每年至少组织一次实战演练。</w:t>
      </w:r>
    </w:p>
    <w:p>
      <w:pPr>
        <w:pStyle w:val="5"/>
        <w:spacing w:before="163"/>
        <w:ind w:left="281" w:hanging="281"/>
        <w:rPr>
          <w:color w:val="000000" w:themeColor="text1"/>
          <w14:textFill>
            <w14:solidFill>
              <w14:schemeClr w14:val="tx1"/>
            </w14:solidFill>
          </w14:textFill>
        </w:rPr>
      </w:pPr>
      <w:bookmarkStart w:id="145" w:name="_Toc116110990"/>
      <w:r>
        <w:rPr>
          <w:color w:val="000000" w:themeColor="text1"/>
          <w14:textFill>
            <w14:solidFill>
              <w14:schemeClr w14:val="tx1"/>
            </w14:solidFill>
          </w14:textFill>
        </w:rPr>
        <w:t>8</w:t>
      </w:r>
      <w:r>
        <w:rPr>
          <w:rFonts w:hint="eastAsia"/>
          <w:color w:val="000000" w:themeColor="text1"/>
          <w14:textFill>
            <w14:solidFill>
              <w14:schemeClr w14:val="tx1"/>
            </w14:solidFill>
          </w14:textFill>
        </w:rPr>
        <w:t>.2.5应急演练暴露问题及解决措施</w:t>
      </w:r>
      <w:bookmarkEnd w:id="145"/>
    </w:p>
    <w:p>
      <w:pPr>
        <w:spacing w:before="0" w:beforeLines="0"/>
        <w:ind w:firstLine="480"/>
        <w:jc w:val="both"/>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1、应急演练暴露问题</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演练后及时发现事故应急救援预案中的问题，并从中找到改进的措施。演练发现的主要问题从以下几个方面查找：</w:t>
      </w:r>
    </w:p>
    <w:p>
      <w:pPr>
        <w:numPr>
          <w:ilvl w:val="0"/>
          <w:numId w:val="10"/>
        </w:numPr>
        <w:spacing w:before="0" w:beforeLines="0"/>
        <w:ind w:firstLine="480"/>
        <w:jc w:val="both"/>
        <w:rPr>
          <w:rFonts w:asciiTheme="minorEastAsia" w:hAnsiTheme="minorEastAsia" w:eastAsiaTheme="minorEastAsia"/>
          <w:color w:val="000000" w:themeColor="text1"/>
          <w:kern w:val="0"/>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各部门及企业</w:t>
      </w:r>
      <w:r>
        <w:rPr>
          <w:rFonts w:hint="eastAsia" w:asciiTheme="minorEastAsia" w:hAnsiTheme="minorEastAsia" w:eastAsiaTheme="minorEastAsia"/>
          <w:color w:val="000000" w:themeColor="text1"/>
          <w:kern w:val="0"/>
          <w14:textFill>
            <w14:solidFill>
              <w14:schemeClr w14:val="tx1"/>
            </w14:solidFill>
          </w14:textFill>
        </w:rPr>
        <w:t>岗位员工是否熟悉自己应履行的职责，掌握事件应急救援技能；</w:t>
      </w:r>
    </w:p>
    <w:p>
      <w:pPr>
        <w:numPr>
          <w:ilvl w:val="0"/>
          <w:numId w:val="10"/>
        </w:numPr>
        <w:spacing w:before="0" w:beforeLines="0"/>
        <w:ind w:firstLine="480"/>
        <w:jc w:val="both"/>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园区及企业演练准备情况；</w:t>
      </w:r>
    </w:p>
    <w:p>
      <w:pPr>
        <w:numPr>
          <w:ilvl w:val="0"/>
          <w:numId w:val="10"/>
        </w:numPr>
        <w:spacing w:before="0" w:beforeLines="0"/>
        <w:ind w:firstLine="480"/>
        <w:jc w:val="both"/>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环境应急指挥部的工作安排衔接；</w:t>
      </w:r>
    </w:p>
    <w:p>
      <w:pPr>
        <w:numPr>
          <w:ilvl w:val="0"/>
          <w:numId w:val="10"/>
        </w:numPr>
        <w:spacing w:before="0" w:beforeLines="0"/>
        <w:ind w:firstLine="480"/>
        <w:jc w:val="both"/>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演习工作布置是否及时、到位；</w:t>
      </w:r>
    </w:p>
    <w:p>
      <w:pPr>
        <w:numPr>
          <w:ilvl w:val="0"/>
          <w:numId w:val="10"/>
        </w:numPr>
        <w:autoSpaceDE w:val="0"/>
        <w:autoSpaceDN w:val="0"/>
        <w:spacing w:before="0" w:beforeLines="0"/>
        <w:ind w:firstLine="480"/>
        <w:rPr>
          <w:rFonts w:asciiTheme="minorEastAsia" w:hAnsiTheme="minorEastAsia" w:eastAsiaTheme="minorEastAsia"/>
          <w:color w:val="000000" w:themeColor="text1"/>
          <w:kern w:val="0"/>
          <w14:textFill>
            <w14:solidFill>
              <w14:schemeClr w14:val="tx1"/>
            </w14:solidFill>
          </w14:textFill>
        </w:rPr>
      </w:pPr>
      <w:r>
        <w:rPr>
          <w:rFonts w:hint="eastAsia" w:asciiTheme="minorEastAsia" w:hAnsiTheme="minorEastAsia" w:eastAsiaTheme="minorEastAsia"/>
          <w:color w:val="000000" w:themeColor="text1"/>
          <w:kern w:val="0"/>
          <w14:textFill>
            <w14:solidFill>
              <w14:schemeClr w14:val="tx1"/>
            </w14:solidFill>
          </w14:textFill>
        </w:rPr>
        <w:t>事件报警、疏散，到泄漏物的处理方法等；</w:t>
      </w:r>
    </w:p>
    <w:p>
      <w:pPr>
        <w:numPr>
          <w:ilvl w:val="0"/>
          <w:numId w:val="10"/>
        </w:numPr>
        <w:spacing w:before="0" w:beforeLines="0"/>
        <w:ind w:firstLine="480"/>
        <w:jc w:val="both"/>
        <w:rPr>
          <w:rFonts w:asciiTheme="minorEastAsia" w:hAnsiTheme="minorEastAsia" w:eastAsiaTheme="minorEastAsia"/>
          <w:color w:val="000000" w:themeColor="text1"/>
          <w:kern w:val="0"/>
          <w14:textFill>
            <w14:solidFill>
              <w14:schemeClr w14:val="tx1"/>
            </w14:solidFill>
          </w14:textFill>
        </w:rPr>
      </w:pPr>
      <w:r>
        <w:rPr>
          <w:rFonts w:hint="eastAsia" w:asciiTheme="minorEastAsia" w:hAnsiTheme="minorEastAsia" w:eastAsiaTheme="minorEastAsia"/>
          <w:color w:val="000000" w:themeColor="text1"/>
          <w:kern w:val="0"/>
          <w14:textFill>
            <w14:solidFill>
              <w14:schemeClr w14:val="tx1"/>
            </w14:solidFill>
          </w14:textFill>
        </w:rPr>
        <w:t>演练的形式、</w:t>
      </w:r>
      <w:r>
        <w:rPr>
          <w:rFonts w:hint="eastAsia" w:cs="宋体" w:asciiTheme="minorEastAsia" w:hAnsiTheme="minorEastAsia" w:eastAsiaTheme="minorEastAsia"/>
          <w:color w:val="000000" w:themeColor="text1"/>
          <w14:textFill>
            <w14:solidFill>
              <w14:schemeClr w14:val="tx1"/>
            </w14:solidFill>
          </w14:textFill>
        </w:rPr>
        <w:t>程序</w:t>
      </w:r>
      <w:r>
        <w:rPr>
          <w:rFonts w:hint="eastAsia" w:asciiTheme="minorEastAsia" w:hAnsiTheme="minorEastAsia" w:eastAsiaTheme="minorEastAsia"/>
          <w:color w:val="000000" w:themeColor="text1"/>
          <w:kern w:val="0"/>
          <w14:textFill>
            <w14:solidFill>
              <w14:schemeClr w14:val="tx1"/>
            </w14:solidFill>
          </w14:textFill>
        </w:rPr>
        <w:t>和时间；</w:t>
      </w:r>
    </w:p>
    <w:p>
      <w:pPr>
        <w:numPr>
          <w:ilvl w:val="0"/>
          <w:numId w:val="10"/>
        </w:numPr>
        <w:spacing w:before="0" w:beforeLines="0"/>
        <w:ind w:firstLine="480"/>
        <w:jc w:val="both"/>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演练内容的建议和改进意见；</w:t>
      </w:r>
    </w:p>
    <w:p>
      <w:pPr>
        <w:pStyle w:val="79"/>
        <w:numPr>
          <w:ilvl w:val="0"/>
          <w:numId w:val="10"/>
        </w:numPr>
        <w:spacing w:before="0" w:beforeLines="0"/>
        <w:ind w:left="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园区及企业内部体系训练、防护器具和抢救设施的</w:t>
      </w:r>
      <w:r>
        <w:rPr>
          <w:rFonts w:hint="eastAsia" w:asciiTheme="minorEastAsia" w:hAnsiTheme="minorEastAsia" w:eastAsiaTheme="minorEastAsia"/>
          <w:color w:val="000000" w:themeColor="text1"/>
          <w:kern w:val="0"/>
          <w14:textFill>
            <w14:solidFill>
              <w14:schemeClr w14:val="tx1"/>
            </w14:solidFill>
          </w14:textFill>
        </w:rPr>
        <w:t>使用</w:t>
      </w:r>
      <w:r>
        <w:rPr>
          <w:rFonts w:hint="eastAsia" w:asciiTheme="minorEastAsia" w:hAnsiTheme="minorEastAsia" w:eastAsiaTheme="minorEastAsia"/>
          <w:color w:val="000000" w:themeColor="text1"/>
          <w14:textFill>
            <w14:solidFill>
              <w14:schemeClr w14:val="tx1"/>
            </w14:solidFill>
          </w14:textFill>
        </w:rPr>
        <w:t>；</w:t>
      </w:r>
    </w:p>
    <w:p>
      <w:pPr>
        <w:pStyle w:val="79"/>
        <w:numPr>
          <w:ilvl w:val="0"/>
          <w:numId w:val="10"/>
        </w:numPr>
        <w:spacing w:before="0" w:beforeLines="0"/>
        <w:ind w:left="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对演练指挥部门的意见和建议等。</w:t>
      </w:r>
    </w:p>
    <w:p>
      <w:pPr>
        <w:spacing w:before="0" w:beforeLines="0"/>
        <w:ind w:firstLine="480"/>
        <w:jc w:val="both"/>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2、解决措施</w:t>
      </w:r>
    </w:p>
    <w:p>
      <w:pPr>
        <w:pStyle w:val="29"/>
        <w:spacing w:before="0" w:beforeLines="0" w:after="0" w:line="360" w:lineRule="auto"/>
        <w:ind w:left="0" w:leftChars="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演练前演练人员进行系统正规培训，演练部门应做好演练全过程的详细计划、部门协调、联系方式、物质准备、处理能力、外界救援能力补充评估等；预演练过程中可能发生的突发状况、应急措施、突发情况及时上报等情况。预演后及时总结等。</w:t>
      </w:r>
    </w:p>
    <w:p>
      <w:pPr>
        <w:pStyle w:val="5"/>
        <w:spacing w:before="0" w:beforeLines="0"/>
        <w:ind w:left="281" w:hanging="281"/>
        <w:rPr>
          <w:color w:val="000000" w:themeColor="text1"/>
          <w14:textFill>
            <w14:solidFill>
              <w14:schemeClr w14:val="tx1"/>
            </w14:solidFill>
          </w14:textFill>
        </w:rPr>
      </w:pPr>
      <w:bookmarkStart w:id="146" w:name="_Toc116110991"/>
      <w:r>
        <w:rPr>
          <w:color w:val="000000" w:themeColor="text1"/>
          <w14:textFill>
            <w14:solidFill>
              <w14:schemeClr w14:val="tx1"/>
            </w14:solidFill>
          </w14:textFill>
        </w:rPr>
        <w:t>8</w:t>
      </w:r>
      <w:r>
        <w:rPr>
          <w:rFonts w:hint="eastAsia"/>
          <w:color w:val="000000" w:themeColor="text1"/>
          <w14:textFill>
            <w14:solidFill>
              <w14:schemeClr w14:val="tx1"/>
            </w14:solidFill>
          </w14:textFill>
        </w:rPr>
        <w:t>.2.6应急演练的评价、总结与追踪</w:t>
      </w:r>
      <w:bookmarkEnd w:id="146"/>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1、演练评价与总结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环境应急指挥部应做好演练方案的策划，演练结束后做好总结，总结内容包括参加演练的单位、部门、人员和演练的地点；起止时间；演练项目和内容；演练过程中的环境条件；演练动用物资是否储备充足、品种齐全、保管完好；演练动用物资设备是否处于完好备用状态；演练效果；持续改进的建议；演练过程记录的文字、音像资料等。</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2、应急演练的追踪</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急演练应及时追踪，对演练过程中遇到的问题和解决方法不断提出改进意见，并对相似的演练进行追踪和后续关注，总结其他类似演练中出现的问题，不断完善应急预案的内容、程序和管理等，努力提高应急能力，强化风险管理，进一步减少风险事故发生概率，更加完善环境风险应急救援体系，增强突发环境风险事故应急响应措施。</w:t>
      </w:r>
    </w:p>
    <w:p>
      <w:pPr>
        <w:pStyle w:val="32"/>
        <w:spacing w:before="163"/>
        <w:ind w:firstLine="360"/>
        <w:rPr>
          <w:color w:val="000000" w:themeColor="text1"/>
          <w14:textFill>
            <w14:solidFill>
              <w14:schemeClr w14:val="tx1"/>
            </w14:solidFill>
          </w14:textFill>
        </w:rPr>
      </w:pPr>
    </w:p>
    <w:p>
      <w:pPr>
        <w:pStyle w:val="33"/>
        <w:spacing w:before="156"/>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pStyle w:val="32"/>
        <w:spacing w:before="163"/>
        <w:ind w:firstLine="360"/>
        <w:rPr>
          <w:color w:val="000000" w:themeColor="text1"/>
          <w14:textFill>
            <w14:solidFill>
              <w14:schemeClr w14:val="tx1"/>
            </w14:solidFill>
          </w14:textFill>
        </w:rPr>
      </w:pPr>
    </w:p>
    <w:p>
      <w:pPr>
        <w:pStyle w:val="3"/>
        <w:spacing w:before="156"/>
        <w:ind w:left="321" w:hanging="321"/>
        <w:rPr>
          <w:color w:val="000000" w:themeColor="text1"/>
          <w14:textFill>
            <w14:solidFill>
              <w14:schemeClr w14:val="tx1"/>
            </w14:solidFill>
          </w14:textFill>
        </w:rPr>
      </w:pPr>
      <w:bookmarkStart w:id="147" w:name="_Toc116110992"/>
      <w:r>
        <w:rPr>
          <w:color w:val="000000" w:themeColor="text1"/>
          <w14:textFill>
            <w14:solidFill>
              <w14:schemeClr w14:val="tx1"/>
            </w14:solidFill>
          </w14:textFill>
        </w:rPr>
        <w:t>9</w:t>
      </w:r>
      <w:r>
        <w:rPr>
          <w:rFonts w:hint="eastAsia"/>
          <w:color w:val="000000" w:themeColor="text1"/>
          <w14:textFill>
            <w14:solidFill>
              <w14:schemeClr w14:val="tx1"/>
            </w14:solidFill>
          </w14:textFill>
        </w:rPr>
        <w:t>奖惩措施</w:t>
      </w:r>
      <w:bookmarkEnd w:id="147"/>
    </w:p>
    <w:p>
      <w:pPr>
        <w:pStyle w:val="4"/>
        <w:spacing w:before="156"/>
        <w:ind w:left="301" w:hanging="301"/>
        <w:rPr>
          <w:color w:val="000000" w:themeColor="text1"/>
          <w14:textFill>
            <w14:solidFill>
              <w14:schemeClr w14:val="tx1"/>
            </w14:solidFill>
          </w14:textFill>
        </w:rPr>
      </w:pPr>
      <w:bookmarkStart w:id="148" w:name="_Toc116110993"/>
      <w:r>
        <w:rPr>
          <w:color w:val="000000" w:themeColor="text1"/>
          <w14:textFill>
            <w14:solidFill>
              <w14:schemeClr w14:val="tx1"/>
            </w14:solidFill>
          </w14:textFill>
        </w:rPr>
        <w:t>9</w:t>
      </w:r>
      <w:r>
        <w:rPr>
          <w:rFonts w:hint="eastAsia"/>
          <w:color w:val="000000" w:themeColor="text1"/>
          <w14:textFill>
            <w14:solidFill>
              <w14:schemeClr w14:val="tx1"/>
            </w14:solidFill>
          </w14:textFill>
        </w:rPr>
        <w:t>.1奖励</w:t>
      </w:r>
      <w:bookmarkEnd w:id="148"/>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在突发环境事件救援工作中，有下列事迹之一的单位或个人，依据有关规定给予奖励。奖励内容应由突发环境事件应急指挥部视具体情况而定。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（1）出色完成应急处置任务，成绩显著的；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（2）对防止或挽救环境污染和生态破坏事故有功，使国家、集体和人民群众的生命财产免受或减少损失的；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（3）对事故应急准备与响应提出重大意见、建议，实施效果显著的；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（4）有其他特殊贡献的。</w:t>
      </w:r>
    </w:p>
    <w:p>
      <w:pPr>
        <w:pStyle w:val="4"/>
        <w:spacing w:before="156"/>
        <w:ind w:left="301" w:hanging="301"/>
        <w:rPr>
          <w:color w:val="000000" w:themeColor="text1"/>
          <w14:textFill>
            <w14:solidFill>
              <w14:schemeClr w14:val="tx1"/>
            </w14:solidFill>
          </w14:textFill>
        </w:rPr>
      </w:pPr>
      <w:bookmarkStart w:id="149" w:name="_Toc116110994"/>
      <w:r>
        <w:rPr>
          <w:color w:val="000000" w:themeColor="text1"/>
          <w14:textFill>
            <w14:solidFill>
              <w14:schemeClr w14:val="tx1"/>
            </w14:solidFill>
          </w14:textFill>
        </w:rPr>
        <w:t>9</w:t>
      </w:r>
      <w:r>
        <w:rPr>
          <w:rFonts w:hint="eastAsia"/>
          <w:color w:val="000000" w:themeColor="text1"/>
          <w14:textFill>
            <w14:solidFill>
              <w14:schemeClr w14:val="tx1"/>
            </w14:solidFill>
          </w14:textFill>
        </w:rPr>
        <w:t>.2处罚</w:t>
      </w:r>
      <w:bookmarkEnd w:id="14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突发环境事件应急处置工作实行行政领导负责制和责任追究制。</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事件的责任调查处理工作由高新区环境应急指挥部或高新区管委会负责。对重大以上的突发环境事件或市环境应急指挥部认为有需要的，由市环境应急指挥部单独或者配上级有关部门负责调查处理。对生产经营单位、相关行政管理部门和应急救援队伍在应急过程中的履职情况进行调查，发现违纪行为的，按照规定处理。发现违法行为的，移送司法机关，依法追究责任。</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在突发环境事件信息报告工作中迟报、谎报、瞒报、漏报有关突发环境事件信息的，给予通报批评；造成后果的，对直接负责的主管人员和直接责任人员依法依纪给予处分；构成犯罪的，移送司法机关依法追究刑事责任。</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在突发环境事件应急工作中，有下列行为之一的，按照有关法律和规定，对有关责任人视情节和危害后果，由其所在单位、高新区管委会或者上级机关给予行政处分；其中，对国家公务员和国家行政机关任命的其他人员，分别由任免机关或者监察机关给予行政处分；构成犯罪的，由司法机关依法追究刑事责任。</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（1）不认真履行环保法律、法规，而引发突发环境事件的；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（2）不按照规定制定突发环境事件应急预案，拒绝承担突发环境事件应急救援义务的；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（3）不按规定报告、通报突发环境事件真实情况的；有迟报、漏报、瞒报和谎报突发环境事件重要情况或者应急管理工作中有其他失职、渎职行为的。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（4）拒不执行应急预案，不服从命令和指挥，或者在事件应急响应时临阵脱逃的。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（5）盗窃、贪污、挪用应急工作资金、装备和物资的。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（6）阻碍应急工作人员依法履行职责或者进行破坏活动的。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（7）散步谣言，扰乱社会秩序的。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（8）有其他对环境事件应急工作造成危害行为的。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（9）具体的奖励和处罚措施细则可由高新区管委会会同相关部门另行制定后，作为本预案的补充文件，另行发布。</w:t>
      </w:r>
    </w:p>
    <w:p>
      <w:pPr>
        <w:spacing w:before="163"/>
        <w:ind w:firstLine="480"/>
        <w:rPr>
          <w:color w:val="000000" w:themeColor="text1"/>
          <w14:textFill>
            <w14:solidFill>
              <w14:schemeClr w14:val="tx1"/>
            </w14:solidFill>
          </w14:textFill>
        </w:rPr>
      </w:pPr>
    </w:p>
    <w:p>
      <w:pPr>
        <w:pStyle w:val="29"/>
        <w:spacing w:before="163"/>
        <w:ind w:left="480" w:firstLine="480"/>
        <w:rPr>
          <w:color w:val="000000" w:themeColor="text1"/>
          <w14:textFill>
            <w14:solidFill>
              <w14:schemeClr w14:val="tx1"/>
            </w14:solidFill>
          </w14:textFill>
        </w:rPr>
      </w:pPr>
    </w:p>
    <w:p>
      <w:pPr>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spacing w:before="163"/>
        <w:ind w:firstLine="480"/>
        <w:rPr>
          <w:color w:val="000000" w:themeColor="text1"/>
          <w14:textFill>
            <w14:solidFill>
              <w14:schemeClr w14:val="tx1"/>
            </w14:solidFill>
          </w14:textFill>
        </w:rPr>
      </w:pPr>
    </w:p>
    <w:p>
      <w:pPr>
        <w:spacing w:before="163"/>
        <w:ind w:firstLine="480"/>
        <w:rPr>
          <w:color w:val="000000" w:themeColor="text1"/>
          <w14:textFill>
            <w14:solidFill>
              <w14:schemeClr w14:val="tx1"/>
            </w14:solidFill>
          </w14:textFill>
        </w:rPr>
      </w:pPr>
    </w:p>
    <w:p>
      <w:pPr>
        <w:pStyle w:val="3"/>
        <w:spacing w:before="156"/>
        <w:ind w:left="321" w:hanging="321"/>
        <w:rPr>
          <w:color w:val="000000" w:themeColor="text1"/>
          <w14:textFill>
            <w14:solidFill>
              <w14:schemeClr w14:val="tx1"/>
            </w14:solidFill>
          </w14:textFill>
        </w:rPr>
      </w:pPr>
      <w:bookmarkStart w:id="150" w:name="_Toc116110995"/>
      <w:r>
        <w:rPr>
          <w:rFonts w:hint="eastAsia"/>
          <w:color w:val="000000" w:themeColor="text1"/>
          <w14:textFill>
            <w14:solidFill>
              <w14:schemeClr w14:val="tx1"/>
            </w14:solidFill>
          </w14:textFill>
        </w:rPr>
        <w:t>1</w:t>
      </w:r>
      <w:r>
        <w:rPr>
          <w:color w:val="000000" w:themeColor="text1"/>
          <w14:textFill>
            <w14:solidFill>
              <w14:schemeClr w14:val="tx1"/>
            </w14:solidFill>
          </w14:textFill>
        </w:rPr>
        <w:t>0附则</w:t>
      </w:r>
      <w:bookmarkEnd w:id="150"/>
    </w:p>
    <w:p>
      <w:pPr>
        <w:pStyle w:val="4"/>
        <w:spacing w:before="156"/>
        <w:ind w:left="301" w:hanging="301"/>
        <w:rPr>
          <w:color w:val="000000" w:themeColor="text1"/>
          <w14:textFill>
            <w14:solidFill>
              <w14:schemeClr w14:val="tx1"/>
            </w14:solidFill>
          </w14:textFill>
        </w:rPr>
      </w:pPr>
      <w:bookmarkStart w:id="151" w:name="_Toc116110996"/>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.1预案的评审、备案、发布和更新</w:t>
      </w:r>
      <w:bookmarkEnd w:id="151"/>
    </w:p>
    <w:p>
      <w:pPr>
        <w:pStyle w:val="5"/>
        <w:spacing w:before="0" w:beforeLines="0"/>
        <w:ind w:left="281" w:hanging="281"/>
        <w:rPr>
          <w:color w:val="000000" w:themeColor="text1"/>
          <w14:textFill>
            <w14:solidFill>
              <w14:schemeClr w14:val="tx1"/>
            </w14:solidFill>
          </w14:textFill>
        </w:rPr>
      </w:pPr>
      <w:bookmarkStart w:id="152" w:name="_Toc116110997"/>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.1.1内部评审</w:t>
      </w:r>
      <w:bookmarkEnd w:id="152"/>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应急预案草案编制完成后，高新区管委会对应急预案草案进行内部评审，针对应急保障措施的可行性、应急分工是否明确、合理等方面进行讨论，对不合理的地方进行修改，形成预案送审稿。</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同时配合生态环境部门对园区内企业进行应急预案评审。对于园区已建成企业，若未编制环境风险事故应急预案，高新区管委会应要求企业编制环境风险事故应急预案，预案经评审后，送抚顺市生态环境局东洲区分局备案。对在建和新建企业，高新区管委会应要求其在企业投产前，完成环境风险事故应急预案报告编制，经评审后，送抚顺市生态环境局东洲区分局备案。</w:t>
      </w:r>
    </w:p>
    <w:p>
      <w:pPr>
        <w:pStyle w:val="5"/>
        <w:spacing w:before="0" w:beforeLines="0"/>
        <w:ind w:left="281" w:hanging="281"/>
        <w:rPr>
          <w:color w:val="000000" w:themeColor="text1"/>
          <w14:textFill>
            <w14:solidFill>
              <w14:schemeClr w14:val="tx1"/>
            </w14:solidFill>
          </w14:textFill>
        </w:rPr>
      </w:pPr>
      <w:bookmarkStart w:id="153" w:name="_Toc116110998"/>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.1.2外部评审</w:t>
      </w:r>
      <w:bookmarkEnd w:id="153"/>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应急预案外部评审由高新区管委会聘请环保应急专家，并邀请环保、安全管理部门、企业代表参与评审。评审通过后由高新区管委会主要负责人签署发布。</w:t>
      </w:r>
    </w:p>
    <w:p>
      <w:pPr>
        <w:pStyle w:val="5"/>
        <w:spacing w:before="0" w:beforeLines="0"/>
        <w:ind w:left="281" w:hanging="281"/>
        <w:rPr>
          <w:color w:val="000000" w:themeColor="text1"/>
          <w14:textFill>
            <w14:solidFill>
              <w14:schemeClr w14:val="tx1"/>
            </w14:solidFill>
          </w14:textFill>
        </w:rPr>
      </w:pPr>
      <w:bookmarkStart w:id="154" w:name="_Toc116110999"/>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.1.3发布的时间、抄送部门</w:t>
      </w:r>
      <w:bookmarkEnd w:id="15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园区应急预案由高新区管委会负责人签署后发布实施，发布时应在文本封面注明生效日期及发布人签名。生效预案应及时抄送至高新区管委会、生态环境主管部门及周边敏感单位。</w:t>
      </w:r>
    </w:p>
    <w:p>
      <w:pPr>
        <w:pStyle w:val="5"/>
        <w:spacing w:before="0" w:beforeLines="0"/>
        <w:ind w:left="281" w:hanging="281"/>
        <w:rPr>
          <w:color w:val="000000" w:themeColor="text1"/>
          <w14:textFill>
            <w14:solidFill>
              <w14:schemeClr w14:val="tx1"/>
            </w14:solidFill>
          </w14:textFill>
        </w:rPr>
      </w:pPr>
      <w:bookmarkStart w:id="155" w:name="_Toc116111000"/>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.1.4更新计划与及时备案</w:t>
      </w:r>
      <w:bookmarkEnd w:id="15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高新区环境应急指挥部应至少每三年组织一次更新与修订，每次更新后及时备案。园区各企业应急预案所涉及的内容有变化时，企业应组织人员进行修改评审，然后重新发布，并抄送至高新区管委会、</w:t>
      </w:r>
      <w:r>
        <w:rPr>
          <w:rFonts w:hint="eastAsia"/>
          <w:color w:val="000000" w:themeColor="text1"/>
          <w14:textFill>
            <w14:solidFill>
              <w14:schemeClr w14:val="tx1"/>
            </w14:solidFill>
          </w14:textFill>
        </w:rPr>
        <w:t>生态环境主管部门及周边敏感单位。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有下列情形之一时，及时修改：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1）面临的环境风险发生重大变化，需要重新进行环境风险评估的；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2）应急管理组织指挥体系与职责发生重大变化的；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3）环境应急监测预警及报告机制、应对流程和措施、应急保障措施发生重大变化的；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4）重要应急资源发生重大变化的；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5）在突发事件实际应对和应急演练中发现问题，需要对环境应急预案作出重大调整的；</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6）其他需要修订的情况。</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对环境应急预案进行重大修订的，修订工作参照环境应急预案制定步骤进行；对环境应急预案个别内容进行调整的，修订工作可适当简化。</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随着应急救援相关法律法规的制订、修改和完善，部门职责或应急资源的变化，或者在应急过程中产生新的问题、新的情况，高新区突发环境应急指挥部办公室负责牵头修订本预案。</w:t>
      </w:r>
    </w:p>
    <w:p>
      <w:pPr>
        <w:pStyle w:val="5"/>
        <w:spacing w:before="0" w:beforeLines="0"/>
        <w:ind w:left="281" w:hanging="281"/>
        <w:rPr>
          <w:color w:val="000000" w:themeColor="text1"/>
          <w14:textFill>
            <w14:solidFill>
              <w14:schemeClr w14:val="tx1"/>
            </w14:solidFill>
          </w14:textFill>
        </w:rPr>
      </w:pPr>
      <w:bookmarkStart w:id="156" w:name="_Toc116111001"/>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.1.5预案的实施和生效时间</w:t>
      </w:r>
      <w:bookmarkEnd w:id="15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本预案由高新区管理委员会负责解释，并根据实际情况对本预案进行修订。</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本预案自印发之日起实施。</w:t>
      </w: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4"/>
        <w:spacing w:before="156"/>
        <w:ind w:left="301" w:hanging="301"/>
        <w:rPr>
          <w:color w:val="000000" w:themeColor="text1"/>
          <w14:textFill>
            <w14:solidFill>
              <w14:schemeClr w14:val="tx1"/>
            </w14:solidFill>
          </w14:textFill>
        </w:rPr>
      </w:pPr>
      <w:bookmarkStart w:id="157" w:name="_Toc116111002"/>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.2名词术语解释</w:t>
      </w:r>
      <w:bookmarkEnd w:id="157"/>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环境事件</w:t>
      </w:r>
      <w:r>
        <w:rPr>
          <w:rFonts w:hint="eastAsia" w:asciiTheme="minorEastAsia" w:hAnsiTheme="minorEastAsia" w:eastAsiaTheme="minorEastAsia"/>
          <w:color w:val="000000" w:themeColor="text1"/>
          <w14:textFill>
            <w14:solidFill>
              <w14:schemeClr w14:val="tx1"/>
            </w14:solidFill>
          </w14:textFill>
        </w:rPr>
        <w:t>：由于违反环境保护法律法规的经济、社会活动与行为，以及意外因素的影响或不可抗拒的自然灾害等原因致使环境受到污染，人体健康受到危害，社会经济与人民群众财产受到损失，造成不良社会影响的事件。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次生衍生环境事件</w:t>
      </w:r>
      <w:r>
        <w:rPr>
          <w:rFonts w:hint="eastAsia" w:asciiTheme="minorEastAsia" w:hAnsiTheme="minorEastAsia" w:eastAsiaTheme="minorEastAsia"/>
          <w:color w:val="000000" w:themeColor="text1"/>
          <w14:textFill>
            <w14:solidFill>
              <w14:schemeClr w14:val="tx1"/>
            </w14:solidFill>
          </w14:textFill>
        </w:rPr>
        <w:t>：某一突发事件所派生或因处置不当引发的环境事件。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突发环境事件</w:t>
      </w:r>
      <w:r>
        <w:rPr>
          <w:rFonts w:hint="eastAsia" w:asciiTheme="minorEastAsia" w:hAnsiTheme="minorEastAsia" w:eastAsiaTheme="minorEastAsia"/>
          <w:color w:val="000000" w:themeColor="text1"/>
          <w14:textFill>
            <w14:solidFill>
              <w14:schemeClr w14:val="tx1"/>
            </w14:solidFill>
          </w14:textFill>
        </w:rPr>
        <w:t>：突然发生的造成或者可能造成人员伤亡、财产损失和对全国或者某一地区的经济社会稳定、政治安定构成威胁和损害，有社会影响的涉及公共安全的环境事件。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环境应急：</w:t>
      </w:r>
      <w:r>
        <w:rPr>
          <w:rFonts w:hint="eastAsia" w:asciiTheme="minorEastAsia" w:hAnsiTheme="minorEastAsia" w:eastAsiaTheme="minorEastAsia"/>
          <w:color w:val="000000" w:themeColor="text1"/>
          <w14:textFill>
            <w14:solidFill>
              <w14:schemeClr w14:val="tx1"/>
            </w14:solidFill>
          </w14:textFill>
        </w:rPr>
        <w:t>针对可能或已发生的突发环境事件需要立即采取某些超出正常工作程序的行动，以避免事件发生或减轻事件后果的状态，也称为紧急状态；同时也泛指立即采取超出正常工作程序的行动。</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w:t>
      </w:r>
      <w:r>
        <w:rPr>
          <w:rFonts w:hint="eastAsia" w:asciiTheme="minorEastAsia" w:hAnsiTheme="minorEastAsia" w:eastAsiaTheme="minorEastAsia"/>
          <w:color w:val="000000" w:themeColor="text1"/>
          <w14:textFill>
            <w14:solidFill>
              <w14:schemeClr w14:val="tx1"/>
            </w14:solidFill>
          </w14:textFill>
        </w:rPr>
        <w:t>：是指发生突发环境事件的可能性及突发环境事件造成的危害程度。</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环境风险受体</w:t>
      </w:r>
      <w:r>
        <w:rPr>
          <w:rFonts w:hint="eastAsia" w:asciiTheme="minorEastAsia" w:hAnsiTheme="minorEastAsia" w:eastAsiaTheme="minorEastAsia"/>
          <w:color w:val="000000" w:themeColor="text1"/>
          <w14:textFill>
            <w14:solidFill>
              <w14:schemeClr w14:val="tx1"/>
            </w14:solidFill>
          </w14:textFill>
        </w:rPr>
        <w:t>：指在突发环境事件中可能受到危害的企业外部人群、具有一定社会价值或生态环境功能的单位或区域等。</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环境风险单元：</w:t>
      </w:r>
      <w:r>
        <w:rPr>
          <w:rFonts w:hint="eastAsia" w:asciiTheme="minorEastAsia" w:hAnsiTheme="minorEastAsia" w:eastAsiaTheme="minorEastAsia"/>
          <w:color w:val="000000" w:themeColor="text1"/>
          <w14:textFill>
            <w14:solidFill>
              <w14:schemeClr w14:val="tx1"/>
            </w14:solidFill>
          </w14:textFill>
        </w:rPr>
        <w:t>指长期或临时生产、加工、使用或储存环境风险物质的一个（套）生产装置、设施或场所或同属一个企业且边缘距离小于500米的几个（套）生产装置、设施或场所。</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环境风险源</w:t>
      </w:r>
      <w:r>
        <w:rPr>
          <w:rFonts w:hint="eastAsia" w:asciiTheme="minorEastAsia" w:hAnsiTheme="minorEastAsia" w:eastAsiaTheme="minorEastAsia"/>
          <w:color w:val="000000" w:themeColor="text1"/>
          <w14:textFill>
            <w14:solidFill>
              <w14:schemeClr w14:val="tx1"/>
            </w14:solidFill>
          </w14:textFill>
        </w:rPr>
        <w:t>：指可能导致突发环境事件的污染源，以及生产、贮存、经营、使用、运输危险物质或产生、收集、利用、处置危险废物的场所、设备和装置。</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泄漏处理</w:t>
      </w:r>
      <w:r>
        <w:rPr>
          <w:rFonts w:hint="eastAsia" w:asciiTheme="minorEastAsia" w:hAnsiTheme="minorEastAsia" w:eastAsiaTheme="minorEastAsia"/>
          <w:color w:val="000000" w:themeColor="text1"/>
          <w14:textFill>
            <w14:solidFill>
              <w14:schemeClr w14:val="tx1"/>
            </w14:solidFill>
          </w14:textFill>
        </w:rPr>
        <w:t>：泄漏处理是指对危险化学品、危险废物、放射性物质、有毒气体等污染源因事件发生泄漏时的所采取的应急处置措施。泄漏处理要及时、得当，避免重大事件的发生。泄漏处理一般分为泄漏源控制和泄漏物处置两部分。</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应急监测</w:t>
      </w:r>
      <w:r>
        <w:rPr>
          <w:rFonts w:hint="eastAsia" w:asciiTheme="minorEastAsia" w:hAnsiTheme="minorEastAsia" w:eastAsiaTheme="minorEastAsia"/>
          <w:color w:val="000000" w:themeColor="text1"/>
          <w14:textFill>
            <w14:solidFill>
              <w14:schemeClr w14:val="tx1"/>
            </w14:solidFill>
          </w14:textFill>
        </w:rPr>
        <w:t>：环境应急情况下，为发现和查明环境污染情况和污染范围而进行的环境监测。包括定点监测和动态监测。</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应急演练</w:t>
      </w:r>
      <w:r>
        <w:rPr>
          <w:rFonts w:hint="eastAsia" w:asciiTheme="minorEastAsia" w:hAnsiTheme="minorEastAsia" w:eastAsiaTheme="minorEastAsia"/>
          <w:color w:val="000000" w:themeColor="text1"/>
          <w14:textFill>
            <w14:solidFill>
              <w14:schemeClr w14:val="tx1"/>
            </w14:solidFill>
          </w14:textFill>
        </w:rPr>
        <w:t>：为检验应急计划的有效性、应急准备的完善性、应急响应能力的适应性和应急人员的协同性而进行的一种模拟应急响应的实践活动， 根据所涉及的内容和范围的不同，可分为单项演习（演练）、综合演习和指挥中心、现场应急组织联合进行的联合演习。</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应急救援</w:t>
      </w:r>
      <w:r>
        <w:rPr>
          <w:rFonts w:hint="eastAsia" w:asciiTheme="minorEastAsia" w:hAnsiTheme="minorEastAsia" w:eastAsiaTheme="minorEastAsia"/>
          <w:color w:val="000000" w:themeColor="text1"/>
          <w14:textFill>
            <w14:solidFill>
              <w14:schemeClr w14:val="tx1"/>
            </w14:solidFill>
          </w14:textFill>
        </w:rPr>
        <w:t>：指突发环境事件发生时，采取的消除、减少事件危害和防止事件恶化，最大限度降低事件损失的措施。</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事故排水</w:t>
      </w:r>
      <w:r>
        <w:rPr>
          <w:rFonts w:hint="eastAsia" w:asciiTheme="minorEastAsia" w:hAnsiTheme="minorEastAsia" w:eastAsiaTheme="minorEastAsia"/>
          <w:color w:val="000000" w:themeColor="text1"/>
          <w14:textFill>
            <w14:solidFill>
              <w14:schemeClr w14:val="tx1"/>
            </w14:solidFill>
          </w14:textFill>
        </w:rPr>
        <w:t>： 指事故状态下排出的含有泄漏物，以及施救过程中产生其他物质的生产废水、清净下水、雨水或消防水等。</w:t>
      </w:r>
    </w:p>
    <w:p>
      <w:pPr>
        <w:pStyle w:val="29"/>
        <w:spacing w:before="163"/>
        <w:ind w:left="480" w:firstLine="480"/>
        <w:rPr>
          <w:color w:val="000000" w:themeColor="text1"/>
          <w14:textFill>
            <w14:solidFill>
              <w14:schemeClr w14:val="tx1"/>
            </w14:solidFill>
          </w14:textFill>
        </w:rPr>
      </w:pPr>
    </w:p>
    <w:p>
      <w:pPr>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pStyle w:val="2"/>
        <w:spacing w:before="163"/>
        <w:ind w:firstLine="480"/>
      </w:pPr>
    </w:p>
    <w:p>
      <w:pPr>
        <w:spacing w:before="163"/>
        <w:ind w:firstLine="480"/>
        <w:rPr>
          <w:color w:val="000000" w:themeColor="text1"/>
          <w14:textFill>
            <w14:solidFill>
              <w14:schemeClr w14:val="tx1"/>
            </w14:solidFill>
          </w14:textFill>
        </w:rPr>
      </w:pPr>
    </w:p>
    <w:p>
      <w:pPr>
        <w:pStyle w:val="3"/>
        <w:spacing w:before="156"/>
        <w:ind w:left="321" w:hanging="321"/>
        <w:rPr>
          <w:color w:val="000000" w:themeColor="text1"/>
          <w14:textFill>
            <w14:solidFill>
              <w14:schemeClr w14:val="tx1"/>
            </w14:solidFill>
          </w14:textFill>
        </w:rPr>
      </w:pPr>
      <w:bookmarkStart w:id="158" w:name="_Toc116111003"/>
      <w:r>
        <w:rPr>
          <w:rFonts w:hint="eastAsia"/>
          <w:color w:val="000000" w:themeColor="text1"/>
          <w14:textFill>
            <w14:solidFill>
              <w14:schemeClr w14:val="tx1"/>
            </w14:solidFill>
          </w14:textFill>
        </w:rPr>
        <w:t>1</w:t>
      </w:r>
      <w:r>
        <w:rPr>
          <w:color w:val="000000" w:themeColor="text1"/>
          <w14:textFill>
            <w14:solidFill>
              <w14:schemeClr w14:val="tx1"/>
            </w14:solidFill>
          </w14:textFill>
        </w:rPr>
        <w:t>1附件</w:t>
      </w:r>
      <w:bookmarkEnd w:id="158"/>
    </w:p>
    <w:p>
      <w:pPr>
        <w:pStyle w:val="4"/>
        <w:spacing w:before="156"/>
        <w:ind w:left="301" w:hanging="301"/>
        <w:rPr>
          <w:color w:val="000000" w:themeColor="text1"/>
          <w14:textFill>
            <w14:solidFill>
              <w14:schemeClr w14:val="tx1"/>
            </w14:solidFill>
          </w14:textFill>
        </w:rPr>
      </w:pPr>
      <w:bookmarkStart w:id="159" w:name="_Toc116111004"/>
      <w:r>
        <w:rPr>
          <w:rFonts w:hint="eastAsia"/>
          <w:color w:val="000000" w:themeColor="text1"/>
          <w14:textFill>
            <w14:solidFill>
              <w14:schemeClr w14:val="tx1"/>
            </w14:solidFill>
          </w14:textFill>
        </w:rPr>
        <w:t>附件 1 高新区突发环境事件应急指挥部成员单位及职责</w:t>
      </w:r>
      <w:bookmarkEnd w:id="159"/>
    </w:p>
    <w:p>
      <w:pPr>
        <w:pStyle w:val="29"/>
        <w:spacing w:before="163" w:after="0" w:line="360" w:lineRule="auto"/>
        <w:ind w:left="0" w:leftChars="0" w:firstLine="480" w:firstLineChars="2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局：负责检查重点环境风险源企业应急准备工作的落实情况；组织开展较大、重大突发环境事件应急监测，组织专家制定应急处置方案，确定危害范围和程度；参与事件调查处理；指导和监督污染物收集、清理与安全处置，组织制定并监督实施生态修复方案等。</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w:t>
      </w:r>
      <w:r>
        <w:rPr>
          <w:rFonts w:hint="eastAsia"/>
          <w:color w:val="000000" w:themeColor="text1"/>
          <w:lang w:val="en-US" w:eastAsia="zh-CN"/>
          <w14:textFill>
            <w14:solidFill>
              <w14:schemeClr w14:val="tx1"/>
            </w14:solidFill>
          </w14:textFill>
        </w:rPr>
        <w:t>综合办：</w:t>
      </w:r>
      <w:r>
        <w:rPr>
          <w:rFonts w:hint="eastAsia"/>
          <w:color w:val="000000" w:themeColor="text1"/>
          <w14:textFill>
            <w14:solidFill>
              <w14:schemeClr w14:val="tx1"/>
            </w14:solidFill>
          </w14:textFill>
        </w:rPr>
        <w:t>负责编制和修订园区环境应急预案；当发生突发事故时，按领导机构要求组织和调度应急救援力量；负责对事故现场进行事故调查、取证工作，分析事故原因，明确事故责任者，统计事故经济损失，提出事故处理意见和防范措施的建议，编写事故报告；组织应急响应结束后的评估、恢复、重建和总结改进工作；按指挥部的授权，安排宣传报道和事故信息对外的发布；负责日常应急管理工作，组织应急预案的培训和演练。</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高新区应急管理局：负责突发环境事件应急处置与救援工作。组织专业救援队伍利用园区风险防控设施对泄漏的环境风险物质进行收集、处置，尽可能地减轻对环境的影响；</w:t>
      </w:r>
      <w:r>
        <w:rPr>
          <w:rFonts w:hint="eastAsia"/>
          <w:szCs w:val="21"/>
        </w:rPr>
        <w:t>参与事故调查。</w:t>
      </w:r>
    </w:p>
    <w:p>
      <w:pPr>
        <w:spacing w:before="0" w:beforeLines="0"/>
        <w:ind w:firstLine="480"/>
        <w:rPr>
          <w:rFonts w:ascii="宋体" w:hAnsi="宋体" w:cs="宋体"/>
          <w:color w:val="000000" w:themeColor="text1"/>
          <w:kern w:val="0"/>
          <w14:textFill>
            <w14:solidFill>
              <w14:schemeClr w14:val="tx1"/>
            </w14:solidFill>
          </w14:textFill>
        </w:rPr>
      </w:pPr>
      <w:r>
        <w:rPr>
          <w:rFonts w:hint="eastAsia"/>
          <w:color w:val="000000" w:themeColor="text1"/>
          <w14:textFill>
            <w14:solidFill>
              <w14:schemeClr w14:val="tx1"/>
            </w14:solidFill>
          </w14:textFill>
        </w:rPr>
        <w:t>高新区建设管理局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负责各种应急物资的组织和供应等后勤保障工作</w:t>
      </w:r>
      <w:r>
        <w:rPr>
          <w:rFonts w:hAnsi="宋体"/>
          <w:color w:val="000000" w:themeColor="text1"/>
          <w14:textFill>
            <w14:solidFill>
              <w14:schemeClr w14:val="tx1"/>
            </w14:solidFill>
          </w14:textFill>
        </w:rPr>
        <w:t>。</w:t>
      </w:r>
    </w:p>
    <w:p>
      <w:pPr>
        <w:spacing w:before="0" w:beforeLines="0"/>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高新区经济发展局：</w:t>
      </w:r>
      <w:r>
        <w:rPr>
          <w:rFonts w:hint="eastAsia"/>
          <w:szCs w:val="21"/>
        </w:rPr>
        <w:t>负责事故应急状态下的现场警戒和保卫；负责应急情况下人员的疏散；负责事故现场交通秩序的维持和管理</w:t>
      </w:r>
      <w:r>
        <w:rPr>
          <w:rFonts w:hint="eastAsia" w:ascii="宋体" w:hAnsi="宋体" w:cs="宋体"/>
          <w:color w:val="000000" w:themeColor="text1"/>
          <w:kern w:val="0"/>
          <w14:textFill>
            <w14:solidFill>
              <w14:schemeClr w14:val="tx1"/>
            </w14:solidFill>
          </w14:textFill>
        </w:rPr>
        <w:t>。</w:t>
      </w:r>
    </w:p>
    <w:p>
      <w:pPr>
        <w:spacing w:before="0" w:beforeLines="0"/>
        <w:ind w:firstLine="480"/>
        <w:rPr>
          <w:rFonts w:hint="eastAsia"/>
          <w:color w:val="000000" w:themeColor="text1"/>
          <w14:textFill>
            <w14:solidFill>
              <w14:schemeClr w14:val="tx1"/>
            </w14:solidFill>
          </w14:textFill>
        </w:rPr>
      </w:pPr>
      <w:r>
        <w:rPr>
          <w:rFonts w:hint="eastAsia" w:ascii="宋体" w:hAnsi="宋体" w:cs="宋体"/>
          <w:color w:val="000000" w:themeColor="text1"/>
          <w:kern w:val="0"/>
          <w14:textFill>
            <w14:solidFill>
              <w14:schemeClr w14:val="tx1"/>
            </w14:solidFill>
          </w14:textFill>
        </w:rPr>
        <w:t>高新区</w:t>
      </w:r>
      <w:r>
        <w:rPr>
          <w:rFonts w:hint="eastAsia" w:ascii="宋体" w:hAnsi="宋体" w:cs="宋体"/>
          <w:color w:val="000000" w:themeColor="text1"/>
          <w:kern w:val="0"/>
          <w:lang w:val="en-US" w:eastAsia="zh-CN"/>
          <w14:textFill>
            <w14:solidFill>
              <w14:schemeClr w14:val="tx1"/>
            </w14:solidFill>
          </w14:textFill>
        </w:rPr>
        <w:t>商务合作局：</w:t>
      </w:r>
      <w:r>
        <w:rPr>
          <w:rFonts w:hAnsi="宋体"/>
          <w:color w:val="000000" w:themeColor="text1"/>
          <w14:textFill>
            <w14:solidFill>
              <w14:schemeClr w14:val="tx1"/>
            </w14:solidFill>
          </w14:textFill>
        </w:rPr>
        <w:t>负责现场用电和通讯联络正常运行，保障与</w:t>
      </w:r>
      <w:r>
        <w:rPr>
          <w:rFonts w:hint="eastAsia" w:hAnsi="宋体"/>
          <w:color w:val="000000" w:themeColor="text1"/>
          <w14:textFill>
            <w14:solidFill>
              <w14:schemeClr w14:val="tx1"/>
            </w14:solidFill>
          </w14:textFill>
        </w:rPr>
        <w:t>园区各企业</w:t>
      </w:r>
      <w:r>
        <w:rPr>
          <w:rFonts w:hAnsi="宋体"/>
          <w:color w:val="000000" w:themeColor="text1"/>
          <w14:textFill>
            <w14:solidFill>
              <w14:schemeClr w14:val="tx1"/>
            </w14:solidFill>
          </w14:textFill>
        </w:rPr>
        <w:t>、地方政府</w:t>
      </w:r>
      <w:r>
        <w:rPr>
          <w:rFonts w:hint="eastAsia" w:hAnsi="宋体"/>
          <w:color w:val="000000" w:themeColor="text1"/>
          <w14:textFill>
            <w14:solidFill>
              <w14:schemeClr w14:val="tx1"/>
            </w14:solidFill>
          </w14:textFill>
        </w:rPr>
        <w:t>、安全生产管理部门、消防队及</w:t>
      </w:r>
      <w:r>
        <w:rPr>
          <w:rFonts w:hAnsi="宋体"/>
          <w:color w:val="000000" w:themeColor="text1"/>
          <w14:textFill>
            <w14:solidFill>
              <w14:schemeClr w14:val="tx1"/>
            </w14:solidFill>
          </w14:textFill>
        </w:rPr>
        <w:t>相关医院的沟通联络</w:t>
      </w:r>
      <w:r>
        <w:rPr>
          <w:rFonts w:hint="eastAsia" w:hAnsi="宋体"/>
          <w:color w:val="000000" w:themeColor="text1"/>
          <w14:textFill>
            <w14:solidFill>
              <w14:schemeClr w14:val="tx1"/>
            </w14:solidFill>
          </w14:textFill>
        </w:rPr>
        <w:t>。</w:t>
      </w:r>
    </w:p>
    <w:p>
      <w:pPr>
        <w:pStyle w:val="29"/>
        <w:spacing w:before="163" w:after="0" w:line="360" w:lineRule="auto"/>
        <w:ind w:left="0" w:leftChars="0"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财政局：负责保障高新区应急能力建设经费；负责突发环境事件应急处置中经费保障和管理工作。</w:t>
      </w:r>
    </w:p>
    <w:p>
      <w:pPr>
        <w:pStyle w:val="29"/>
        <w:spacing w:before="163" w:after="0" w:line="360" w:lineRule="auto"/>
        <w:ind w:left="0" w:leftChars="0" w:firstLine="480"/>
        <w:jc w:val="lef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党群</w:t>
      </w:r>
      <w:r>
        <w:rPr>
          <w:rFonts w:hint="eastAsia"/>
          <w:color w:val="000000" w:themeColor="text1"/>
          <w14:textFill>
            <w14:solidFill>
              <w14:schemeClr w14:val="tx1"/>
            </w14:solidFill>
          </w14:textFill>
        </w:rPr>
        <w:t>工作部：负责</w:t>
      </w:r>
      <w:r>
        <w:rPr>
          <w:rFonts w:hint="eastAsia"/>
          <w:color w:val="000000" w:themeColor="text1"/>
          <w:lang w:val="en-US" w:eastAsia="zh-CN"/>
          <w14:textFill>
            <w14:solidFill>
              <w14:schemeClr w14:val="tx1"/>
            </w14:solidFill>
          </w14:textFill>
        </w:rPr>
        <w:t>上报和对外发布相关信息情况材料等文字综合工作。</w:t>
      </w:r>
    </w:p>
    <w:p>
      <w:pPr>
        <w:pStyle w:val="29"/>
        <w:spacing w:before="163" w:after="0" w:line="360" w:lineRule="auto"/>
        <w:ind w:left="0" w:leftChars="0" w:firstLine="480"/>
        <w:jc w:val="left"/>
        <w:rPr>
          <w:color w:val="000000" w:themeColor="text1"/>
          <w14:textFill>
            <w14:solidFill>
              <w14:schemeClr w14:val="tx1"/>
            </w14:solidFill>
          </w14:textFill>
        </w:rPr>
      </w:pPr>
    </w:p>
    <w:p>
      <w:pPr>
        <w:pStyle w:val="4"/>
        <w:spacing w:before="156"/>
        <w:ind w:left="301" w:hanging="301"/>
      </w:pPr>
      <w:bookmarkStart w:id="160" w:name="_Toc116111005"/>
      <w:r>
        <w:rPr>
          <w:rFonts w:hint="eastAsia"/>
        </w:rPr>
        <w:t>附件2  应急救援有关人员联系方式</w:t>
      </w:r>
      <w:bookmarkEnd w:id="160"/>
    </w:p>
    <w:p>
      <w:pPr>
        <w:spacing w:before="156"/>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高新区环境应急机构联系方式</w:t>
      </w:r>
    </w:p>
    <w:tbl>
      <w:tblPr>
        <w:tblStyle w:val="54"/>
        <w:tblW w:w="499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1505"/>
        <w:gridCol w:w="3257"/>
        <w:gridCol w:w="17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环境应急管理机构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姓名</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行政职务</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联系方式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总指挥</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彭伟</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高新区管委会主任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13704135588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副总指挥</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张春民</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高新区管委会常务副主任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18641379333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邵景春</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高新区管委会副主任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13342120099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周新</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高新区管委会副主任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13500431119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徐昊</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石化消防大队教导员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13555257777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应急指挥办公室</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梁霞</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综合办主任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13842336211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翟军</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综合办副主任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13384235003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杨昕彪</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综合办科员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15941363634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徐丹</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综合办科员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15141342828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紧急救援组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鲁洪波</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高新区应急管理局局长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18641334545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徐昊</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石化消防大队教导员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13555257777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王辉旭</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高新集团董事长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18940338899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任建衡</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高新区应急管理局科员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13125528456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李佳骏</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高新区应急管理局科员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18524135577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刘志忠</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抚顺银隆建筑有限公司</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13332121988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侯彦志</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辽宁中光城建有限公司</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18940376567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通讯联络组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高巍</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商务合作局局长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13804938878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张文辉</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商务合作局副局长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13941378252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张勇</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商务合作局副局长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18641360008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马强</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w:t>
            </w:r>
            <w:r>
              <w:rPr>
                <w:rFonts w:hint="eastAsia" w:asciiTheme="minorEastAsia" w:hAnsiTheme="minorEastAsia" w:eastAsiaTheme="minorEastAsia"/>
                <w:kern w:val="0"/>
                <w:sz w:val="21"/>
                <w:szCs w:val="21"/>
                <w:lang w:val="en-US" w:eastAsia="zh-CN"/>
              </w:rPr>
              <w:t>商务合作局科员</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18741300005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物资保障组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佟云飞</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高新区建设管理局局长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13904131577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米闯</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高新区建设管理局副局长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15041393539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陈勇</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高新区建设管理局副局长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13050127333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环境监测组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生锐</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高新区生态环境局 负责人</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15841350666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马晓龙</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辽宁万世环境检测有限公司</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13941353380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高赫阳</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高新区生态环境局副局长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18804136955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疏散引导组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王宪强</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高新区经济发展局局长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15641380212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林明</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市国土资源局高新分局负责人</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13700133791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钟成光</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高新区科技局局长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13842337321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en-US" w:eastAsia="zh-CN"/>
              </w:rPr>
            </w:pPr>
            <w:r>
              <w:rPr>
                <w:rFonts w:hint="eastAsia" w:asciiTheme="minorEastAsia" w:hAnsiTheme="minorEastAsia" w:eastAsiaTheme="minorEastAsia"/>
                <w:kern w:val="0"/>
                <w:sz w:val="21"/>
                <w:szCs w:val="21"/>
                <w:lang w:val="en-US" w:eastAsia="zh-CN"/>
              </w:rPr>
              <w:t>杨波</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东洲区交警大队队长</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lang w:val="en-US" w:eastAsia="zh-CN"/>
              </w:rPr>
              <w:t>13942311558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restar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rPr>
            </w:pPr>
            <w:r>
              <w:rPr>
                <w:rFonts w:hint="eastAsia" w:asciiTheme="minorEastAsia" w:hAnsiTheme="minorEastAsia" w:eastAsiaTheme="minorEastAsia"/>
                <w:kern w:val="0"/>
                <w:sz w:val="21"/>
                <w:szCs w:val="21"/>
              </w:rPr>
              <w:t>技术专家组</w:t>
            </w: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张春民</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高新区管委会常务副主任</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18641379333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方志刚</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原辽宁省环保厅</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13709884141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辛晓牧</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辽宁省生态环境保护科技中心</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13904009562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朱焕山</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辽宁省抚顺生态环境监测中心</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13204136667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马会强</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辽宁石油化工大学</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15898399040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来永斌</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辽宁省抚顺生态环境监测中心</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18741309666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杨长生</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洗涤剂化工厂</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13941323115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常梅芳</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抚顺石化公司腈纶化工厂给排水</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13841356680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8" w:type="pct"/>
            <w:vMerge w:val="continue"/>
            <w:vAlign w:val="center"/>
          </w:tcPr>
          <w:p>
            <w:pPr>
              <w:spacing w:line="240" w:lineRule="exact"/>
              <w:jc w:val="center"/>
              <w:rPr>
                <w:rFonts w:hint="eastAsia" w:ascii="宋体" w:hAnsi="宋体" w:eastAsia="宋体" w:cs="宋体"/>
                <w:sz w:val="21"/>
                <w:szCs w:val="21"/>
              </w:rPr>
            </w:pPr>
          </w:p>
        </w:tc>
        <w:tc>
          <w:tcPr>
            <w:tcW w:w="883"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王俊英</w:t>
            </w:r>
          </w:p>
        </w:tc>
        <w:tc>
          <w:tcPr>
            <w:tcW w:w="1911"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中国石化抚顺石油化工研究院</w:t>
            </w:r>
          </w:p>
        </w:tc>
        <w:tc>
          <w:tcPr>
            <w:tcW w:w="1036" w:type="pct"/>
            <w:vAlign w:val="center"/>
          </w:tcPr>
          <w:p>
            <w:pPr>
              <w:spacing w:before="0" w:beforeLines="0" w:line="240" w:lineRule="exact"/>
              <w:ind w:firstLine="0" w:firstLineChars="0"/>
              <w:jc w:val="center"/>
              <w:rPr>
                <w:rFonts w:hint="eastAsia" w:asciiTheme="minorEastAsia" w:hAnsiTheme="minorEastAsia" w:eastAsiaTheme="minorEastAsia"/>
                <w:kern w:val="0"/>
                <w:sz w:val="21"/>
                <w:szCs w:val="21"/>
                <w:lang w:val="zh-CN" w:eastAsia="zh-CN"/>
              </w:rPr>
            </w:pPr>
            <w:r>
              <w:rPr>
                <w:rFonts w:hint="eastAsia" w:asciiTheme="minorEastAsia" w:hAnsiTheme="minorEastAsia" w:eastAsiaTheme="minorEastAsia"/>
                <w:kern w:val="0"/>
                <w:sz w:val="21"/>
                <w:szCs w:val="21"/>
              </w:rPr>
              <w:t>13941345286</w:t>
            </w:r>
          </w:p>
        </w:tc>
      </w:tr>
    </w:tbl>
    <w:p>
      <w:pPr>
        <w:spacing w:before="156"/>
        <w:ind w:firstLine="0" w:firstLineChars="0"/>
        <w:jc w:val="center"/>
        <w:rPr>
          <w:b/>
          <w:color w:val="000000" w:themeColor="text1"/>
          <w14:textFill>
            <w14:solidFill>
              <w14:schemeClr w14:val="tx1"/>
            </w14:solidFill>
          </w14:textFill>
        </w:rPr>
      </w:pPr>
      <w:r>
        <w:rPr>
          <w:b/>
          <w:color w:val="000000" w:themeColor="text1"/>
          <w14:textFill>
            <w14:solidFill>
              <w14:schemeClr w14:val="tx1"/>
            </w14:solidFill>
          </w14:textFill>
        </w:rPr>
        <w:t>突发环境事件值班值班电话</w:t>
      </w:r>
    </w:p>
    <w:tbl>
      <w:tblPr>
        <w:tblStyle w:val="54"/>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568"/>
        <w:gridCol w:w="495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atLeast"/>
          <w:jc w:val="center"/>
        </w:trPr>
        <w:tc>
          <w:tcPr>
            <w:tcW w:w="2092" w:type="pct"/>
            <w:vAlign w:val="center"/>
          </w:tcPr>
          <w:p>
            <w:pPr>
              <w:spacing w:before="156"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突发环境事件值班电话 24小时开通</w:t>
            </w:r>
          </w:p>
        </w:tc>
        <w:tc>
          <w:tcPr>
            <w:tcW w:w="2907" w:type="pct"/>
            <w:vAlign w:val="center"/>
          </w:tcPr>
          <w:p>
            <w:pPr>
              <w:spacing w:before="156" w:line="240" w:lineRule="auto"/>
              <w:ind w:firstLine="0" w:firstLineChars="0"/>
              <w:jc w:val="center"/>
              <w:rPr>
                <w:color w:val="000000" w:themeColor="text1"/>
                <w:sz w:val="21"/>
                <w:szCs w:val="21"/>
                <w14:textFill>
                  <w14:solidFill>
                    <w14:schemeClr w14:val="tx1"/>
                  </w14:solidFill>
                </w14:textFill>
              </w:rPr>
            </w:pPr>
            <w:r>
              <w:rPr>
                <w:rFonts w:hint="eastAsia"/>
                <w:sz w:val="21"/>
                <w:szCs w:val="21"/>
              </w:rPr>
              <w:t>54172036     54172033</w:t>
            </w:r>
          </w:p>
        </w:tc>
      </w:tr>
    </w:tbl>
    <w:p>
      <w:pPr>
        <w:spacing w:before="156"/>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外部应急救援通讯录</w:t>
      </w:r>
    </w:p>
    <w:tbl>
      <w:tblPr>
        <w:tblStyle w:val="5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70"/>
        <w:gridCol w:w="2856"/>
        <w:gridCol w:w="21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b/>
                <w:color w:val="000000" w:themeColor="text1"/>
                <w:sz w:val="21"/>
                <w:szCs w:val="21"/>
                <w14:textFill>
                  <w14:solidFill>
                    <w14:schemeClr w14:val="tx1"/>
                  </w14:solidFill>
                </w14:textFill>
              </w:rPr>
            </w:pPr>
            <w:r>
              <w:rPr>
                <w:rFonts w:asciiTheme="minorEastAsia" w:hAnsiTheme="minorEastAsia" w:eastAsiaTheme="minorEastAsia"/>
                <w:b/>
                <w:color w:val="000000" w:themeColor="text1"/>
                <w:sz w:val="21"/>
                <w:szCs w:val="21"/>
                <w14:textFill>
                  <w14:solidFill>
                    <w14:schemeClr w14:val="tx1"/>
                  </w14:solidFill>
                </w14:textFill>
              </w:rPr>
              <w:t>单位</w:t>
            </w:r>
          </w:p>
        </w:tc>
        <w:tc>
          <w:tcPr>
            <w:tcW w:w="1675" w:type="pct"/>
            <w:vAlign w:val="center"/>
          </w:tcPr>
          <w:p>
            <w:pPr>
              <w:spacing w:before="0" w:beforeLines="0" w:line="240" w:lineRule="exact"/>
              <w:ind w:firstLine="0" w:firstLineChars="0"/>
              <w:jc w:val="center"/>
              <w:rPr>
                <w:rFonts w:asciiTheme="minorEastAsia" w:hAnsiTheme="minorEastAsia" w:eastAsiaTheme="minorEastAsia"/>
                <w:b/>
                <w:color w:val="000000" w:themeColor="text1"/>
                <w:sz w:val="21"/>
                <w:szCs w:val="21"/>
                <w14:textFill>
                  <w14:solidFill>
                    <w14:schemeClr w14:val="tx1"/>
                  </w14:solidFill>
                </w14:textFill>
              </w:rPr>
            </w:pPr>
            <w:r>
              <w:rPr>
                <w:rFonts w:asciiTheme="minorEastAsia" w:hAnsiTheme="minorEastAsia" w:eastAsiaTheme="minorEastAsia"/>
                <w:b/>
                <w:color w:val="000000" w:themeColor="text1"/>
                <w:sz w:val="21"/>
                <w:szCs w:val="21"/>
                <w14:textFill>
                  <w14:solidFill>
                    <w14:schemeClr w14:val="tx1"/>
                  </w14:solidFill>
                </w14:textFill>
              </w:rPr>
              <w:t>电话1</w:t>
            </w:r>
          </w:p>
        </w:tc>
        <w:tc>
          <w:tcPr>
            <w:tcW w:w="1290" w:type="pct"/>
            <w:vAlign w:val="center"/>
          </w:tcPr>
          <w:p>
            <w:pPr>
              <w:spacing w:before="0" w:beforeLines="0" w:line="240" w:lineRule="exact"/>
              <w:ind w:firstLine="0" w:firstLineChars="0"/>
              <w:jc w:val="center"/>
              <w:rPr>
                <w:rFonts w:asciiTheme="minorEastAsia" w:hAnsiTheme="minorEastAsia" w:eastAsiaTheme="minorEastAsia"/>
                <w:b/>
                <w:color w:val="000000" w:themeColor="text1"/>
                <w:sz w:val="21"/>
                <w:szCs w:val="21"/>
                <w14:textFill>
                  <w14:solidFill>
                    <w14:schemeClr w14:val="tx1"/>
                  </w14:solidFill>
                </w14:textFill>
              </w:rPr>
            </w:pPr>
            <w:r>
              <w:rPr>
                <w:rFonts w:asciiTheme="minorEastAsia" w:hAnsiTheme="minorEastAsia" w:eastAsiaTheme="minorEastAsia"/>
                <w:b/>
                <w:color w:val="000000" w:themeColor="text1"/>
                <w:sz w:val="21"/>
                <w:szCs w:val="21"/>
                <w14:textFill>
                  <w14:solidFill>
                    <w14:schemeClr w14:val="tx1"/>
                  </w14:solidFill>
                </w14:textFill>
              </w:rPr>
              <w:t>电话2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消防指挥中心</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119</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抚顺石化消防中心</w:t>
            </w:r>
          </w:p>
        </w:tc>
        <w:tc>
          <w:tcPr>
            <w:tcW w:w="1675" w:type="pct"/>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54668707</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抚顺市消防救援支队石化大队</w:t>
            </w:r>
          </w:p>
        </w:tc>
        <w:tc>
          <w:tcPr>
            <w:tcW w:w="1675" w:type="pct"/>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54633119</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报警指挥中心</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110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东洲区公安分局</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54629017</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医疗救护中心</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120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东洲区政府应急管理办公室</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54663046</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54663444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w:t>
            </w:r>
            <w:r>
              <w:rPr>
                <w:rFonts w:hint="eastAsia" w:asciiTheme="minorEastAsia" w:hAnsiTheme="minorEastAsia" w:eastAsiaTheme="minorEastAsia"/>
                <w:color w:val="000000" w:themeColor="text1"/>
                <w:sz w:val="21"/>
                <w:szCs w:val="21"/>
                <w14:textFill>
                  <w14:solidFill>
                    <w14:schemeClr w14:val="tx1"/>
                  </w14:solidFill>
                </w14:textFill>
              </w:rPr>
              <w:t>生态环境局</w:t>
            </w:r>
            <w:r>
              <w:rPr>
                <w:rFonts w:asciiTheme="minorEastAsia" w:hAnsiTheme="minorEastAsia" w:eastAsiaTheme="minorEastAsia"/>
                <w:color w:val="000000" w:themeColor="text1"/>
                <w:sz w:val="21"/>
                <w:szCs w:val="21"/>
                <w14:textFill>
                  <w14:solidFill>
                    <w14:schemeClr w14:val="tx1"/>
                  </w14:solidFill>
                </w14:textFill>
              </w:rPr>
              <w:t>应急值班电话</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58289110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57500720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w:t>
            </w:r>
            <w:r>
              <w:rPr>
                <w:rFonts w:hint="eastAsia" w:asciiTheme="minorEastAsia" w:hAnsiTheme="minorEastAsia" w:eastAsiaTheme="minorEastAsia"/>
                <w:color w:val="000000" w:themeColor="text1"/>
                <w:sz w:val="21"/>
                <w:szCs w:val="21"/>
                <w14:textFill>
                  <w14:solidFill>
                    <w14:schemeClr w14:val="tx1"/>
                  </w14:solidFill>
                </w14:textFill>
              </w:rPr>
              <w:t>生态环境局</w:t>
            </w:r>
            <w:r>
              <w:rPr>
                <w:rFonts w:asciiTheme="minorEastAsia" w:hAnsiTheme="minorEastAsia" w:eastAsiaTheme="minorEastAsia"/>
                <w:color w:val="000000" w:themeColor="text1"/>
                <w:sz w:val="21"/>
                <w:szCs w:val="21"/>
                <w14:textFill>
                  <w14:solidFill>
                    <w14:schemeClr w14:val="tx1"/>
                  </w14:solidFill>
                </w14:textFill>
              </w:rPr>
              <w:t>应急办公室</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58289600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58289617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抚顺市安全生产事故报警电话</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5260000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57500300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抚顺市</w:t>
            </w:r>
            <w:r>
              <w:rPr>
                <w:rFonts w:hint="eastAsia" w:asciiTheme="minorEastAsia" w:hAnsiTheme="minorEastAsia" w:eastAsiaTheme="minorEastAsia"/>
                <w:color w:val="000000" w:themeColor="text1"/>
                <w:sz w:val="21"/>
                <w:szCs w:val="21"/>
                <w14:textFill>
                  <w14:solidFill>
                    <w14:schemeClr w14:val="tx1"/>
                  </w14:solidFill>
                </w14:textFill>
              </w:rPr>
              <w:t>应急管理</w:t>
            </w:r>
            <w:r>
              <w:rPr>
                <w:rFonts w:asciiTheme="minorEastAsia" w:hAnsiTheme="minorEastAsia" w:eastAsiaTheme="minorEastAsia"/>
                <w:color w:val="000000" w:themeColor="text1"/>
                <w:sz w:val="21"/>
                <w:szCs w:val="21"/>
                <w14:textFill>
                  <w14:solidFill>
                    <w14:schemeClr w14:val="tx1"/>
                  </w14:solidFill>
                </w14:textFill>
              </w:rPr>
              <w:t>局</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57500346</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57500344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东洲区</w:t>
            </w:r>
            <w:r>
              <w:rPr>
                <w:rFonts w:hint="eastAsia" w:asciiTheme="minorEastAsia" w:hAnsiTheme="minorEastAsia" w:eastAsiaTheme="minorEastAsia"/>
                <w:color w:val="000000" w:themeColor="text1"/>
                <w:sz w:val="21"/>
                <w:szCs w:val="21"/>
                <w14:textFill>
                  <w14:solidFill>
                    <w14:schemeClr w14:val="tx1"/>
                  </w14:solidFill>
                </w14:textFill>
              </w:rPr>
              <w:t>应急管理</w:t>
            </w:r>
            <w:r>
              <w:rPr>
                <w:rFonts w:asciiTheme="minorEastAsia" w:hAnsiTheme="minorEastAsia" w:eastAsiaTheme="minorEastAsia"/>
                <w:color w:val="000000" w:themeColor="text1"/>
                <w:sz w:val="21"/>
                <w:szCs w:val="21"/>
                <w14:textFill>
                  <w14:solidFill>
                    <w14:schemeClr w14:val="tx1"/>
                  </w14:solidFill>
                </w14:textFill>
              </w:rPr>
              <w:t>局</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54663889</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54665553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市</w:t>
            </w:r>
            <w:r>
              <w:rPr>
                <w:rFonts w:hint="eastAsia" w:asciiTheme="minorEastAsia" w:hAnsiTheme="minorEastAsia" w:eastAsiaTheme="minorEastAsia"/>
                <w:color w:val="000000" w:themeColor="text1"/>
                <w:sz w:val="21"/>
                <w:szCs w:val="21"/>
                <w14:textFill>
                  <w14:solidFill>
                    <w14:schemeClr w14:val="tx1"/>
                  </w14:solidFill>
                </w14:textFill>
              </w:rPr>
              <w:t>生态环境局</w:t>
            </w:r>
            <w:r>
              <w:rPr>
                <w:rFonts w:asciiTheme="minorEastAsia" w:hAnsiTheme="minorEastAsia" w:eastAsiaTheme="minorEastAsia"/>
                <w:color w:val="000000" w:themeColor="text1"/>
                <w:sz w:val="21"/>
                <w:szCs w:val="21"/>
                <w14:textFill>
                  <w14:solidFill>
                    <w14:schemeClr w14:val="tx1"/>
                  </w14:solidFill>
                </w14:textFill>
              </w:rPr>
              <w:t>东洲区</w:t>
            </w:r>
            <w:r>
              <w:rPr>
                <w:rFonts w:hint="eastAsia" w:asciiTheme="minorEastAsia" w:hAnsiTheme="minorEastAsia" w:eastAsiaTheme="minorEastAsia"/>
                <w:color w:val="000000" w:themeColor="text1"/>
                <w:sz w:val="21"/>
                <w:szCs w:val="21"/>
                <w14:textFill>
                  <w14:solidFill>
                    <w14:schemeClr w14:val="tx1"/>
                  </w14:solidFill>
                </w14:textFill>
              </w:rPr>
              <w:t>分</w:t>
            </w:r>
            <w:r>
              <w:rPr>
                <w:rFonts w:asciiTheme="minorEastAsia" w:hAnsiTheme="minorEastAsia" w:eastAsiaTheme="minorEastAsia"/>
                <w:color w:val="000000" w:themeColor="text1"/>
                <w:sz w:val="21"/>
                <w:szCs w:val="21"/>
                <w14:textFill>
                  <w14:solidFill>
                    <w14:schemeClr w14:val="tx1"/>
                  </w14:solidFill>
                </w14:textFill>
              </w:rPr>
              <w:t>局</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58372500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58372501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抚顺市政府值班电话</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57500300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57500400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抚顺电业局</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95598</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东泽污水处理厂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19841366646</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highlight w:val="yellow"/>
                <w:lang w:val="en-US" w:eastAsia="zh-CN"/>
                <w14:textFill>
                  <w14:gradFill>
                    <w14:gsLst>
                      <w14:gs w14:pos="0">
                        <w14:srgbClr w14:val="E30000"/>
                      </w14:gs>
                      <w14:gs w14:pos="100000">
                        <w14:srgbClr w14:val="760303"/>
                      </w14:gs>
                    </w14:gsLst>
                    <w14:lin w14:scaled="0"/>
                  </w14:gra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青草沟污水处理厂</w:t>
            </w:r>
          </w:p>
        </w:tc>
        <w:tc>
          <w:tcPr>
            <w:tcW w:w="1675" w:type="pct"/>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highlight w:val="yellow"/>
                <w14:textFill>
                  <w14:gradFill>
                    <w14:gsLst>
                      <w14:gs w14:pos="0">
                        <w14:srgbClr w14:val="E30000"/>
                      </w14:gs>
                      <w14:gs w14:pos="100000">
                        <w14:srgbClr w14:val="760303"/>
                      </w14:gs>
                    </w14:gsLst>
                    <w14:lin w14:scaled="0"/>
                  </w14:gradFill>
                </w14:textFill>
              </w:rPr>
            </w:pPr>
            <w:r>
              <w:rPr>
                <w:rFonts w:hint="eastAsia" w:asciiTheme="minorEastAsia" w:hAnsiTheme="minorEastAsia" w:eastAsiaTheme="minorEastAsia"/>
                <w:kern w:val="0"/>
                <w:sz w:val="21"/>
                <w:szCs w:val="21"/>
              </w:rPr>
              <w:t>13841356680</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石油二厂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52421988/52430452</w:t>
            </w:r>
          </w:p>
        </w:tc>
        <w:tc>
          <w:tcPr>
            <w:tcW w:w="1290" w:type="pct"/>
            <w:vAlign w:val="center"/>
          </w:tcPr>
          <w:p>
            <w:pPr>
              <w:spacing w:before="0" w:beforeLines="0" w:line="240" w:lineRule="exact"/>
              <w:ind w:firstLine="42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52997777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烯烃厂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52999998</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52999995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乙烯化工厂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52999111-772601</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54630340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腈纶化工厂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52998111-888170;888171</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54411200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03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热电厂</w:t>
            </w:r>
          </w:p>
        </w:tc>
        <w:tc>
          <w:tcPr>
            <w:tcW w:w="1675"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52992111-226340;244111</w:t>
            </w:r>
          </w:p>
        </w:tc>
        <w:tc>
          <w:tcPr>
            <w:tcW w:w="1290"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54667661</w:t>
            </w:r>
          </w:p>
        </w:tc>
      </w:tr>
    </w:tbl>
    <w:p>
      <w:pPr>
        <w:spacing w:before="0" w:beforeLines="0"/>
        <w:ind w:firstLine="0" w:firstLineChars="0"/>
        <w:jc w:val="center"/>
        <w:rPr>
          <w:rFonts w:hint="eastAsia"/>
          <w:b/>
          <w:color w:val="000000" w:themeColor="text1"/>
          <w14:textFill>
            <w14:solidFill>
              <w14:schemeClr w14:val="tx1"/>
            </w14:solidFill>
          </w14:textFill>
        </w:rPr>
      </w:pPr>
    </w:p>
    <w:p>
      <w:pPr>
        <w:spacing w:before="0" w:beforeLines="0"/>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应急救援支援协助单位联系方式</w:t>
      </w:r>
    </w:p>
    <w:tbl>
      <w:tblPr>
        <w:tblStyle w:val="54"/>
        <w:tblW w:w="5004"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9"/>
        <w:gridCol w:w="3537"/>
        <w:gridCol w:w="1010"/>
        <w:gridCol w:w="1574"/>
        <w:gridCol w:w="162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序号</w:t>
            </w:r>
          </w:p>
        </w:tc>
        <w:tc>
          <w:tcPr>
            <w:tcW w:w="2126"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企业名称</w:t>
            </w:r>
          </w:p>
        </w:tc>
        <w:tc>
          <w:tcPr>
            <w:tcW w:w="607"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联系人</w:t>
            </w:r>
          </w:p>
        </w:tc>
        <w:tc>
          <w:tcPr>
            <w:tcW w:w="946"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联系电话</w:t>
            </w:r>
          </w:p>
        </w:tc>
        <w:tc>
          <w:tcPr>
            <w:tcW w:w="979"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w:t>
            </w:r>
          </w:p>
        </w:tc>
        <w:tc>
          <w:tcPr>
            <w:tcW w:w="2126" w:type="pct"/>
            <w:vAlign w:val="center"/>
          </w:tcPr>
          <w:p>
            <w:pPr>
              <w:spacing w:before="0" w:beforeLines="0" w:line="240" w:lineRule="exact"/>
              <w:ind w:firstLine="0" w:firstLineChars="0"/>
              <w:jc w:val="center"/>
              <w:rPr>
                <w:rFonts w:asciiTheme="minorEastAsia" w:hAnsiTheme="minorEastAsia" w:eastAsiaTheme="minorEastAsia"/>
                <w:kern w:val="0"/>
                <w:sz w:val="21"/>
                <w:szCs w:val="21"/>
              </w:rPr>
            </w:pPr>
            <w:r>
              <w:rPr>
                <w:rFonts w:hint="eastAsia" w:asciiTheme="minorEastAsia" w:hAnsiTheme="minorEastAsia" w:eastAsiaTheme="minorEastAsia"/>
                <w:sz w:val="21"/>
                <w:szCs w:val="21"/>
              </w:rPr>
              <w:t>辽宁万世环境检测有限公司</w:t>
            </w:r>
          </w:p>
        </w:tc>
        <w:tc>
          <w:tcPr>
            <w:tcW w:w="607" w:type="pct"/>
            <w:vAlign w:val="center"/>
          </w:tcPr>
          <w:p>
            <w:pPr>
              <w:spacing w:before="0" w:beforeLines="0" w:line="240" w:lineRule="exact"/>
              <w:ind w:firstLine="0" w:firstLineChars="0"/>
              <w:jc w:val="center"/>
              <w:rPr>
                <w:rFonts w:asciiTheme="minorEastAsia" w:hAnsiTheme="minorEastAsia" w:eastAsiaTheme="minorEastAsia"/>
                <w:kern w:val="0"/>
                <w:sz w:val="21"/>
                <w:szCs w:val="21"/>
              </w:rPr>
            </w:pPr>
            <w:r>
              <w:rPr>
                <w:rFonts w:hint="eastAsia" w:asciiTheme="minorEastAsia" w:hAnsiTheme="minorEastAsia" w:eastAsiaTheme="minorEastAsia"/>
                <w:kern w:val="0"/>
                <w:sz w:val="21"/>
                <w:szCs w:val="21"/>
              </w:rPr>
              <w:t>马晓龙</w:t>
            </w:r>
          </w:p>
        </w:tc>
        <w:tc>
          <w:tcPr>
            <w:tcW w:w="946" w:type="pct"/>
            <w:vAlign w:val="center"/>
          </w:tcPr>
          <w:p>
            <w:pPr>
              <w:spacing w:before="0" w:beforeLines="0" w:line="240" w:lineRule="exact"/>
              <w:ind w:firstLine="0" w:firstLineChars="0"/>
              <w:jc w:val="center"/>
              <w:rPr>
                <w:rFonts w:asciiTheme="minorEastAsia" w:hAnsiTheme="minorEastAsia" w:eastAsiaTheme="minorEastAsia"/>
                <w:kern w:val="0"/>
                <w:sz w:val="21"/>
                <w:szCs w:val="21"/>
              </w:rPr>
            </w:pPr>
            <w:r>
              <w:rPr>
                <w:rFonts w:hint="eastAsia" w:asciiTheme="minorEastAsia" w:hAnsiTheme="minorEastAsia" w:eastAsiaTheme="minorEastAsia"/>
                <w:sz w:val="21"/>
                <w:szCs w:val="21"/>
              </w:rPr>
              <w:t>13941353380</w:t>
            </w:r>
          </w:p>
        </w:tc>
        <w:tc>
          <w:tcPr>
            <w:tcW w:w="979"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环境监测</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w:t>
            </w:r>
          </w:p>
        </w:tc>
        <w:tc>
          <w:tcPr>
            <w:tcW w:w="212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抚顺市绿谷源环境检测有限公司</w:t>
            </w:r>
          </w:p>
        </w:tc>
        <w:tc>
          <w:tcPr>
            <w:tcW w:w="607"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姜文娜</w:t>
            </w:r>
          </w:p>
        </w:tc>
        <w:tc>
          <w:tcPr>
            <w:tcW w:w="94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13030700067</w:t>
            </w:r>
          </w:p>
        </w:tc>
        <w:tc>
          <w:tcPr>
            <w:tcW w:w="979"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环境监测</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w:t>
            </w:r>
          </w:p>
        </w:tc>
        <w:tc>
          <w:tcPr>
            <w:tcW w:w="212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抚顺银隆建筑有限公司</w:t>
            </w:r>
          </w:p>
        </w:tc>
        <w:tc>
          <w:tcPr>
            <w:tcW w:w="607"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刘志忠</w:t>
            </w:r>
          </w:p>
        </w:tc>
        <w:tc>
          <w:tcPr>
            <w:tcW w:w="94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13332121988</w:t>
            </w:r>
          </w:p>
        </w:tc>
        <w:tc>
          <w:tcPr>
            <w:tcW w:w="979"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应急工程救援</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4</w:t>
            </w:r>
          </w:p>
        </w:tc>
        <w:tc>
          <w:tcPr>
            <w:tcW w:w="212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辽宁中光城建工程有限公司</w:t>
            </w:r>
          </w:p>
        </w:tc>
        <w:tc>
          <w:tcPr>
            <w:tcW w:w="607"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侯彦志</w:t>
            </w:r>
          </w:p>
        </w:tc>
        <w:tc>
          <w:tcPr>
            <w:tcW w:w="946"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18940376567</w:t>
            </w:r>
          </w:p>
        </w:tc>
        <w:tc>
          <w:tcPr>
            <w:tcW w:w="979" w:type="pct"/>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应急工程救援</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5</w:t>
            </w:r>
          </w:p>
        </w:tc>
        <w:tc>
          <w:tcPr>
            <w:tcW w:w="212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抚顺市凯旋运输有限公司</w:t>
            </w:r>
          </w:p>
        </w:tc>
        <w:tc>
          <w:tcPr>
            <w:tcW w:w="60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sz w:val="21"/>
                <w:szCs w:val="21"/>
              </w:rPr>
              <w:t>祝总</w:t>
            </w:r>
          </w:p>
        </w:tc>
        <w:tc>
          <w:tcPr>
            <w:tcW w:w="94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15898338868</w:t>
            </w:r>
          </w:p>
        </w:tc>
        <w:tc>
          <w:tcPr>
            <w:tcW w:w="97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事故废水转运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6</w:t>
            </w:r>
          </w:p>
        </w:tc>
        <w:tc>
          <w:tcPr>
            <w:tcW w:w="212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抚顺江波汽车货运有限公司</w:t>
            </w:r>
          </w:p>
        </w:tc>
        <w:tc>
          <w:tcPr>
            <w:tcW w:w="60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sz w:val="21"/>
                <w:szCs w:val="21"/>
              </w:rPr>
              <w:t>高总</w:t>
            </w:r>
          </w:p>
        </w:tc>
        <w:tc>
          <w:tcPr>
            <w:tcW w:w="94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13842301333</w:t>
            </w:r>
          </w:p>
        </w:tc>
        <w:tc>
          <w:tcPr>
            <w:tcW w:w="97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事故废水转运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7</w:t>
            </w:r>
          </w:p>
        </w:tc>
        <w:tc>
          <w:tcPr>
            <w:tcW w:w="212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辽宁双旗石化仓储物流有限公司</w:t>
            </w:r>
          </w:p>
        </w:tc>
        <w:tc>
          <w:tcPr>
            <w:tcW w:w="60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sz w:val="21"/>
                <w:szCs w:val="21"/>
              </w:rPr>
              <w:t>冯冻果</w:t>
            </w:r>
          </w:p>
        </w:tc>
        <w:tc>
          <w:tcPr>
            <w:tcW w:w="94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15898323380</w:t>
            </w:r>
          </w:p>
        </w:tc>
        <w:tc>
          <w:tcPr>
            <w:tcW w:w="97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事故废水转运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8</w:t>
            </w:r>
          </w:p>
        </w:tc>
        <w:tc>
          <w:tcPr>
            <w:tcW w:w="212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抚顺市新抚康泉机电经销处</w:t>
            </w:r>
          </w:p>
        </w:tc>
        <w:tc>
          <w:tcPr>
            <w:tcW w:w="60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赵经理</w:t>
            </w:r>
          </w:p>
        </w:tc>
        <w:tc>
          <w:tcPr>
            <w:tcW w:w="94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13019657579</w:t>
            </w:r>
          </w:p>
        </w:tc>
        <w:tc>
          <w:tcPr>
            <w:tcW w:w="97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事故废水转运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exact"/>
          <w:jc w:val="center"/>
        </w:trPr>
        <w:tc>
          <w:tcPr>
            <w:tcW w:w="342" w:type="pct"/>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9</w:t>
            </w:r>
          </w:p>
        </w:tc>
        <w:tc>
          <w:tcPr>
            <w:tcW w:w="212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抚顺市新抚区白杨物资租赁经营处</w:t>
            </w:r>
          </w:p>
        </w:tc>
        <w:tc>
          <w:tcPr>
            <w:tcW w:w="60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白经理</w:t>
            </w:r>
          </w:p>
        </w:tc>
        <w:tc>
          <w:tcPr>
            <w:tcW w:w="94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15141388884</w:t>
            </w:r>
          </w:p>
        </w:tc>
        <w:tc>
          <w:tcPr>
            <w:tcW w:w="97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事故废水转运</w:t>
            </w:r>
          </w:p>
        </w:tc>
      </w:tr>
    </w:tbl>
    <w:p>
      <w:pPr>
        <w:pStyle w:val="29"/>
        <w:spacing w:before="156"/>
        <w:ind w:left="0" w:leftChars="0" w:firstLine="0" w:firstLineChars="0"/>
        <w:jc w:val="center"/>
        <w:rPr>
          <w:rFonts w:hint="eastAsia"/>
          <w:b/>
          <w:bCs/>
          <w:color w:val="000000" w:themeColor="text1"/>
          <w14:textFill>
            <w14:solidFill>
              <w14:schemeClr w14:val="tx1"/>
            </w14:solidFill>
          </w14:textFill>
        </w:rPr>
      </w:pPr>
    </w:p>
    <w:p>
      <w:pPr>
        <w:pStyle w:val="29"/>
        <w:keepNext w:val="0"/>
        <w:keepLines w:val="0"/>
        <w:pageBreakBefore w:val="0"/>
        <w:widowControl w:val="0"/>
        <w:kinsoku/>
        <w:wordWrap/>
        <w:overflowPunct/>
        <w:topLinePunct w:val="0"/>
        <w:autoSpaceDE/>
        <w:autoSpaceDN/>
        <w:bidi w:val="0"/>
        <w:adjustRightInd/>
        <w:snapToGrid/>
        <w:spacing w:before="0" w:beforeLines="0"/>
        <w:ind w:left="0" w:leftChars="0" w:firstLine="0" w:firstLineChars="0"/>
        <w:jc w:val="center"/>
        <w:textAlignment w:val="auto"/>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园区企业联系方式</w:t>
      </w:r>
    </w:p>
    <w:tbl>
      <w:tblPr>
        <w:tblStyle w:val="54"/>
        <w:tblW w:w="5004" w:type="pct"/>
        <w:tblInd w:w="0" w:type="dxa"/>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54"/>
        <w:gridCol w:w="3536"/>
        <w:gridCol w:w="1010"/>
        <w:gridCol w:w="1574"/>
        <w:gridCol w:w="1645"/>
      </w:tblGrid>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5000" w:type="pct"/>
            <w:gridSpan w:val="5"/>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hint="eastAsia" w:cs="Times New Roman" w:asciiTheme="minorEastAsia" w:hAnsiTheme="minorEastAsia" w:eastAsiaTheme="minorEastAsia"/>
                <w:color w:val="000000" w:themeColor="text1"/>
                <w:sz w:val="21"/>
                <w:szCs w:val="21"/>
                <w14:textFill>
                  <w14:solidFill>
                    <w14:schemeClr w14:val="tx1"/>
                  </w14:solidFill>
                </w14:textFill>
              </w:rPr>
              <w:t>核心区（高新一区）</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序号</w:t>
            </w:r>
          </w:p>
        </w:tc>
        <w:tc>
          <w:tcPr>
            <w:tcW w:w="2125"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企业名称</w:t>
            </w:r>
          </w:p>
        </w:tc>
        <w:tc>
          <w:tcPr>
            <w:tcW w:w="607"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联系人</w:t>
            </w:r>
          </w:p>
        </w:tc>
        <w:tc>
          <w:tcPr>
            <w:tcW w:w="946"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联系电话</w:t>
            </w:r>
            <w:r>
              <w:rPr>
                <w:rFonts w:hint="eastAsia" w:cs="Times New Roman" w:asciiTheme="minorEastAsia" w:hAnsiTheme="minorEastAsia" w:eastAsiaTheme="minorEastAsia"/>
                <w:color w:val="000000" w:themeColor="text1"/>
                <w:sz w:val="21"/>
                <w:szCs w:val="21"/>
                <w:lang w:val="en-US"/>
                <w14:textFill>
                  <w14:solidFill>
                    <w14:schemeClr w14:val="tx1"/>
                  </w14:solidFill>
                </w14:textFill>
              </w:rPr>
              <w:t>1</w:t>
            </w:r>
          </w:p>
        </w:tc>
        <w:tc>
          <w:tcPr>
            <w:tcW w:w="988"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联系电话</w:t>
            </w:r>
            <w:r>
              <w:rPr>
                <w:rFonts w:hint="eastAsia" w:cs="Times New Roman" w:asciiTheme="minorEastAsia" w:hAnsiTheme="minorEastAsia" w:eastAsiaTheme="minorEastAsia"/>
                <w:color w:val="000000" w:themeColor="text1"/>
                <w:sz w:val="21"/>
                <w:szCs w:val="21"/>
                <w:lang w:val="en-US"/>
                <w14:textFill>
                  <w14:solidFill>
                    <w14:schemeClr w14:val="tx1"/>
                  </w14:solidFill>
                </w14:textFill>
              </w:rPr>
              <w:t>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辽宁同益石化有限公司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 xml:space="preserve">宋铁铭          </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15898333333</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13514135921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抚顺齐隆化工有限公司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张宇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15841386481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13841393005</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抚顺伊科思新材料有限公司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李云涛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18678957686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53783610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抚顺石化北天化工有限公司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张守军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13904931242</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15304135933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抚顺石化北天隆发综合服务厂</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王树增</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13842345366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15304135933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抚顺石化北天梧松化工有限公司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王凯旭</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13704935696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52998378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辽宁华亿化工实业有限公司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赵军              赵寒松</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18041313888   18241380888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18241337373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辽宁百盈碳纤维有限公司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唐锋</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18904931111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13042641568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抚顺东联安信化学有限公司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里光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18641305777</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 xml:space="preserve"> 13081330660</w:t>
            </w:r>
            <w:r>
              <w:rPr>
                <w:rFonts w:asciiTheme="minorEastAsia" w:hAnsiTheme="minorEastAsia" w:eastAsiaTheme="minorEastAsia"/>
                <w:color w:val="000000" w:themeColor="text1"/>
                <w:kern w:val="0"/>
                <w:sz w:val="21"/>
                <w:szCs w:val="21"/>
                <w:lang w:bidi="ar"/>
                <w14:textFill>
                  <w14:solidFill>
                    <w14:schemeClr w14:val="tx1"/>
                  </w14:solidFill>
                </w14:textFill>
              </w:rPr>
              <w:br w:type="textWrapping"/>
            </w:r>
            <w:r>
              <w:rPr>
                <w:rFonts w:asciiTheme="minorEastAsia" w:hAnsiTheme="minorEastAsia" w:eastAsiaTheme="minorEastAsia"/>
                <w:color w:val="000000" w:themeColor="text1"/>
                <w:kern w:val="0"/>
                <w:sz w:val="21"/>
                <w:szCs w:val="21"/>
                <w:lang w:bidi="ar"/>
                <w14:textFill>
                  <w14:solidFill>
                    <w14:schemeClr w14:val="tx1"/>
                  </w14:solidFill>
                </w14:textFill>
              </w:rPr>
              <w:t>53783790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汉圣化工(抚顺)有限公司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杨伟东</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18641307361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辽宁荣信新型材料有限公司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李长春</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15842320101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抚顺市海丰化工有限公司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韩鹏越</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13009269797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抚顺大阳日酸气体有限公司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姜平</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15998681378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18642348133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辽宁道博精细化学品生产有限公司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刘金龙            刘博</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13604997048 18841347887</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15040802991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抚顺市久丰合成树脂制造有限公司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韩鹏越</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13009269797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辽宁金易化工有限责任公司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张健            刘丽滨</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13842385888   13304132085</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13942388808   13332139995</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辽宁森源化工股份有限公司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薛志贤           陆行军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15841310333    15841352499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18940339008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佳化化学（抚顺）新材料有限公司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陈召</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13482710819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53787869</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19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抚顺杰隆石化有限公司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郭庆良</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18804135957</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15242343566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抚顺伦成技术工程有限公司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刘学成</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13941384505</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15004131408</w:t>
            </w:r>
            <w:r>
              <w:rPr>
                <w:rFonts w:asciiTheme="minorEastAsia" w:hAnsiTheme="minorEastAsia" w:eastAsiaTheme="minorEastAsia"/>
                <w:color w:val="000000" w:themeColor="text1"/>
                <w:kern w:val="0"/>
                <w:sz w:val="21"/>
                <w:szCs w:val="21"/>
                <w:lang w:bidi="ar"/>
                <w14:textFill>
                  <w14:solidFill>
                    <w14:schemeClr w14:val="tx1"/>
                  </w14:solidFill>
                </w14:textFill>
              </w:rPr>
              <w:br w:type="textWrapping"/>
            </w:r>
            <w:r>
              <w:rPr>
                <w:rFonts w:asciiTheme="minorEastAsia" w:hAnsiTheme="minorEastAsia" w:eastAsiaTheme="minorEastAsia"/>
                <w:color w:val="000000" w:themeColor="text1"/>
                <w:kern w:val="0"/>
                <w:sz w:val="21"/>
                <w:szCs w:val="21"/>
                <w:lang w:bidi="ar"/>
                <w14:textFill>
                  <w14:solidFill>
                    <w14:schemeClr w14:val="tx1"/>
                  </w14:solidFill>
                </w14:textFill>
              </w:rPr>
              <w:t>13898311419</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抚顺科达精细化工有限公司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孙福利</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13942392398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新加坡胜科工业集团</w:t>
            </w:r>
          </w:p>
        </w:tc>
        <w:tc>
          <w:tcPr>
            <w:tcW w:w="607"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c>
          <w:tcPr>
            <w:tcW w:w="946"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辽宁同益石化有限公司（东区）</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宋铁铭          佟和旭</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15898333333   15842306000</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18641315818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辽宁鑫盾医药化工有限公司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刘国勇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18242249888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13130317569</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抚顺大恒化工有限公司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徐桅</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13940185111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13904936983   18004131313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辽宁泰逸环保科技有限公司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刘庆乾</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13624234188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18741388533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抚顺诺科碳材料有限公司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常旭升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18841301188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15841346764</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辽宁凯迪化工有限公司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周少英</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13804235588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15668523311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29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抚顺华科化工科技发展有限公司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海滨</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15330859999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13941324856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抚顺方泰精密碳材料有限公司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刘杨</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18642318288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18642318867</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澳升化工助剂（抚顺）有限公司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韩鹏越</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13009269797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抚顺市天赋化工制造有限公司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鲍景斌</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18714573666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15041388876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辽宁颐通管业有限公司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李东阳</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15632011337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辽宁隆益科技发展有限公司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高毅</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15941310333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辽宁东科药业有限公司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 xml:space="preserve">刘  勇         </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13841393666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13470528881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14:textFill>
                  <w14:solidFill>
                    <w14:schemeClr w14:val="tx1"/>
                  </w14:solidFill>
                </w14:textFill>
              </w:rPr>
            </w:pPr>
            <w:r>
              <w:rPr>
                <w:rFonts w:cs="Times New Roman" w:asciiTheme="minorEastAsia" w:hAnsiTheme="minorEastAsia" w:eastAsiaTheme="minorEastAsia"/>
                <w:color w:val="000000" w:themeColor="text1"/>
                <w:sz w:val="21"/>
                <w:szCs w:val="21"/>
                <w14:textFill>
                  <w14:solidFill>
                    <w14:schemeClr w14:val="tx1"/>
                  </w14:solidFill>
                </w14:textFill>
              </w:rPr>
              <w:t>36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辽宁抚顺同益特种石蜡制品有限公司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徐长和</w:t>
            </w:r>
            <w:r>
              <w:rPr>
                <w:rFonts w:asciiTheme="minorEastAsia" w:hAnsiTheme="minorEastAsia" w:eastAsiaTheme="minorEastAsia"/>
                <w:color w:val="000000" w:themeColor="text1"/>
                <w:kern w:val="0"/>
                <w:sz w:val="21"/>
                <w:szCs w:val="21"/>
                <w:lang w:bidi="ar"/>
                <w14:textFill>
                  <w14:solidFill>
                    <w14:schemeClr w14:val="tx1"/>
                  </w14:solidFill>
                </w14:textFill>
              </w:rPr>
              <w:br w:type="textWrapping"/>
            </w:r>
            <w:r>
              <w:rPr>
                <w:rFonts w:asciiTheme="minorEastAsia" w:hAnsiTheme="minorEastAsia" w:eastAsiaTheme="minorEastAsia"/>
                <w:color w:val="000000" w:themeColor="text1"/>
                <w:kern w:val="0"/>
                <w:sz w:val="21"/>
                <w:szCs w:val="21"/>
                <w:lang w:bidi="ar"/>
                <w14:textFill>
                  <w14:solidFill>
                    <w14:schemeClr w14:val="tx1"/>
                  </w14:solidFill>
                </w14:textFill>
              </w:rPr>
              <w:t xml:space="preserve">李  斌  </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15241312345</w:t>
            </w:r>
            <w:r>
              <w:rPr>
                <w:rFonts w:asciiTheme="minorEastAsia" w:hAnsiTheme="minorEastAsia" w:eastAsiaTheme="minorEastAsia"/>
                <w:color w:val="000000" w:themeColor="text1"/>
                <w:kern w:val="0"/>
                <w:sz w:val="21"/>
                <w:szCs w:val="21"/>
                <w:lang w:bidi="ar"/>
                <w14:textFill>
                  <w14:solidFill>
                    <w14:schemeClr w14:val="tx1"/>
                  </w14:solidFill>
                </w14:textFill>
              </w:rPr>
              <w:br w:type="textWrapping"/>
            </w:r>
            <w:r>
              <w:rPr>
                <w:rFonts w:asciiTheme="minorEastAsia" w:hAnsiTheme="minorEastAsia" w:eastAsiaTheme="minorEastAsia"/>
                <w:color w:val="000000" w:themeColor="text1"/>
                <w:kern w:val="0"/>
                <w:sz w:val="21"/>
                <w:szCs w:val="21"/>
                <w:lang w:bidi="ar"/>
                <w14:textFill>
                  <w14:solidFill>
                    <w14:schemeClr w14:val="tx1"/>
                  </w14:solidFill>
                </w14:textFill>
              </w:rPr>
              <w:t>15641306111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13841397096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37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抚顺亿方新材料有限公司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孙兴家</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13842005691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13842394806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38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抚顺顺特化工有限公司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田大信</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13942393148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15242394000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39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抚顺佳业机械制造有限公司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王春哲</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18804136699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40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陆通双菱液化气</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白守义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13841339188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41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辽宁欣航化工科技有限公司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范</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13998307900</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5"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000000" w:themeColor="text1"/>
                <w:sz w:val="21"/>
                <w:szCs w:val="21"/>
                <w:lang w:val="en-US"/>
                <w14:textFill>
                  <w14:solidFill>
                    <w14:schemeClr w14:val="tx1"/>
                  </w14:solidFill>
                </w14:textFill>
              </w:rPr>
            </w:pPr>
            <w:r>
              <w:rPr>
                <w:rFonts w:cs="Times New Roman" w:asciiTheme="minorEastAsia" w:hAnsiTheme="minorEastAsia" w:eastAsiaTheme="minorEastAsia"/>
                <w:color w:val="000000" w:themeColor="text1"/>
                <w:sz w:val="21"/>
                <w:szCs w:val="21"/>
                <w:lang w:val="en-US"/>
                <w14:textFill>
                  <w14:solidFill>
                    <w14:schemeClr w14:val="tx1"/>
                  </w14:solidFill>
                </w14:textFill>
              </w:rPr>
              <w:t>42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辽宁润裕精细化工有限公司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杨雷</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13842354567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color w:val="auto"/>
                <w:sz w:val="21"/>
                <w:szCs w:val="21"/>
                <w:lang w:val="en-US"/>
              </w:rPr>
            </w:pPr>
            <w:r>
              <w:rPr>
                <w:rFonts w:cs="Times New Roman" w:asciiTheme="minorEastAsia" w:hAnsiTheme="minorEastAsia" w:eastAsiaTheme="minorEastAsia"/>
                <w:color w:val="auto"/>
                <w:sz w:val="21"/>
                <w:szCs w:val="21"/>
                <w:lang w:val="en-US"/>
              </w:rPr>
              <w:t>43</w:t>
            </w:r>
          </w:p>
        </w:tc>
        <w:tc>
          <w:tcPr>
            <w:tcW w:w="2125" w:type="pct"/>
            <w:tcBorders>
              <w:tl2br w:val="nil"/>
              <w:tr2bl w:val="nil"/>
            </w:tcBorders>
            <w:vAlign w:val="center"/>
          </w:tcPr>
          <w:p>
            <w:pPr>
              <w:pStyle w:val="32"/>
              <w:spacing w:before="0" w:beforeLines="0" w:line="240" w:lineRule="exact"/>
              <w:ind w:firstLine="0" w:firstLineChars="0"/>
              <w:jc w:val="center"/>
              <w:rPr>
                <w:rFonts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color w:val="auto"/>
                <w:sz w:val="21"/>
                <w:szCs w:val="21"/>
                <w:lang w:val="en-US" w:eastAsia="zh-CN"/>
              </w:rPr>
              <w:t>抚顺浩源化工有限公司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杨丽华</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13514135937</w:t>
            </w:r>
          </w:p>
        </w:tc>
        <w:tc>
          <w:tcPr>
            <w:tcW w:w="988" w:type="pct"/>
            <w:tcBorders>
              <w:tl2br w:val="nil"/>
              <w:tr2bl w:val="nil"/>
            </w:tcBorders>
            <w:vAlign w:val="center"/>
          </w:tcPr>
          <w:p>
            <w:pPr>
              <w:spacing w:before="0" w:beforeLines="0" w:line="240" w:lineRule="exact"/>
              <w:ind w:firstLine="0" w:firstLineChars="0"/>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44</w:t>
            </w:r>
          </w:p>
        </w:tc>
        <w:tc>
          <w:tcPr>
            <w:tcW w:w="2125" w:type="pct"/>
            <w:tcBorders>
              <w:tl2br w:val="nil"/>
              <w:tr2bl w:val="nil"/>
            </w:tcBorders>
            <w:vAlign w:val="center"/>
          </w:tcPr>
          <w:p>
            <w:pPr>
              <w:pStyle w:val="32"/>
              <w:spacing w:before="0" w:beforeLines="0" w:line="240" w:lineRule="exact"/>
              <w:ind w:firstLine="0" w:firstLineChars="0"/>
              <w:jc w:val="center"/>
              <w:rPr>
                <w:rFonts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抚顺顺能化工有限公司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杨千镱</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13504133671</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45</w:t>
            </w:r>
          </w:p>
        </w:tc>
        <w:tc>
          <w:tcPr>
            <w:tcW w:w="2125" w:type="pct"/>
            <w:tcBorders>
              <w:tl2br w:val="nil"/>
              <w:tr2bl w:val="nil"/>
            </w:tcBorders>
            <w:vAlign w:val="center"/>
          </w:tcPr>
          <w:p>
            <w:pPr>
              <w:pStyle w:val="32"/>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抚顺东益化工有限公司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王斌</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13904230772</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46</w:t>
            </w:r>
          </w:p>
        </w:tc>
        <w:tc>
          <w:tcPr>
            <w:tcW w:w="2125"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eastAsiaTheme="minorEastAsia"/>
                <w:color w:val="auto"/>
                <w:sz w:val="21"/>
                <w:szCs w:val="21"/>
              </w:rPr>
              <w:t>辽宁</w:t>
            </w:r>
            <w:r>
              <w:rPr>
                <w:rFonts w:hint="eastAsia" w:asciiTheme="minorEastAsia" w:hAnsiTheme="minorEastAsia"/>
                <w:color w:val="auto"/>
                <w:sz w:val="21"/>
                <w:szCs w:val="21"/>
                <w:lang w:val="en-US" w:eastAsia="zh-CN"/>
              </w:rPr>
              <w:t>鑫星新材料</w:t>
            </w:r>
            <w:r>
              <w:rPr>
                <w:rFonts w:hint="eastAsia" w:asciiTheme="minorEastAsia" w:hAnsiTheme="minorEastAsia" w:eastAsiaTheme="minorEastAsia"/>
                <w:color w:val="auto"/>
                <w:sz w:val="21"/>
                <w:szCs w:val="21"/>
              </w:rPr>
              <w:t>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张广威</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15841398828</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47</w:t>
            </w:r>
          </w:p>
        </w:tc>
        <w:tc>
          <w:tcPr>
            <w:tcW w:w="2125" w:type="pct"/>
            <w:tcBorders>
              <w:tl2br w:val="nil"/>
              <w:tr2bl w:val="nil"/>
            </w:tcBorders>
            <w:vAlign w:val="center"/>
          </w:tcPr>
          <w:p>
            <w:pPr>
              <w:pStyle w:val="32"/>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eastAsiaTheme="minorEastAsia"/>
                <w:color w:val="auto"/>
                <w:sz w:val="21"/>
                <w:szCs w:val="21"/>
              </w:rPr>
              <w:t>辽宁</w:t>
            </w:r>
            <w:r>
              <w:rPr>
                <w:rFonts w:hint="eastAsia" w:asciiTheme="minorEastAsia" w:hAnsiTheme="minorEastAsia"/>
                <w:color w:val="auto"/>
                <w:sz w:val="21"/>
                <w:szCs w:val="21"/>
                <w:lang w:val="en-US" w:eastAsia="zh-CN"/>
              </w:rPr>
              <w:t>新宇生物</w:t>
            </w:r>
            <w:r>
              <w:rPr>
                <w:rFonts w:hint="eastAsia" w:asciiTheme="minorEastAsia" w:hAnsiTheme="minorEastAsia" w:eastAsiaTheme="minorEastAsia"/>
                <w:color w:val="auto"/>
                <w:sz w:val="21"/>
                <w:szCs w:val="21"/>
              </w:rPr>
              <w:t>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范洪振</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13921305918</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48</w:t>
            </w:r>
          </w:p>
        </w:tc>
        <w:tc>
          <w:tcPr>
            <w:tcW w:w="2125" w:type="pct"/>
            <w:tcBorders>
              <w:tl2br w:val="nil"/>
              <w:tr2bl w:val="nil"/>
            </w:tcBorders>
            <w:vAlign w:val="center"/>
          </w:tcPr>
          <w:p>
            <w:pPr>
              <w:pStyle w:val="32"/>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抚顺顺特化工有限公司（新厂）</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王刚</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15641388463</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333" w:type="pct"/>
            <w:tcBorders>
              <w:tl2br w:val="nil"/>
              <w:tr2bl w:val="nil"/>
            </w:tcBorders>
            <w:vAlign w:val="center"/>
          </w:tcPr>
          <w:p>
            <w:pPr>
              <w:pStyle w:val="32"/>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49</w:t>
            </w:r>
          </w:p>
        </w:tc>
        <w:tc>
          <w:tcPr>
            <w:tcW w:w="2125" w:type="pct"/>
            <w:tcBorders>
              <w:tl2br w:val="nil"/>
              <w:tr2bl w:val="nil"/>
            </w:tcBorders>
            <w:vAlign w:val="center"/>
          </w:tcPr>
          <w:p>
            <w:pPr>
              <w:pStyle w:val="32"/>
              <w:spacing w:before="0" w:beforeLines="0" w:line="240" w:lineRule="exact"/>
              <w:ind w:firstLine="0" w:firstLineChars="0"/>
              <w:jc w:val="center"/>
              <w:rPr>
                <w:rFonts w:hint="default" w:eastAsia="宋体" w:cs="Times New Roman" w:asciiTheme="minorEastAsia" w:hAnsiTheme="minorEastAsia"/>
                <w:color w:val="auto"/>
                <w:kern w:val="2"/>
                <w:sz w:val="21"/>
                <w:szCs w:val="21"/>
                <w:lang w:val="en-US" w:eastAsia="zh-CN" w:bidi="ar-SA"/>
              </w:rPr>
            </w:pPr>
            <w:r>
              <w:rPr>
                <w:rFonts w:hint="eastAsia" w:asciiTheme="minorEastAsia" w:hAnsiTheme="minorEastAsia"/>
                <w:color w:val="auto"/>
                <w:sz w:val="21"/>
                <w:szCs w:val="21"/>
                <w:lang w:val="en-US" w:eastAsia="zh-CN"/>
              </w:rPr>
              <w:t>抚顺中石油昆仑燃气有限公司石化新城分输站</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lang w:val="en-US" w:eastAsia="zh-CN"/>
              </w:rPr>
              <w:t>李正罡</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15941360337</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5000" w:type="pct"/>
            <w:gridSpan w:val="5"/>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兰山工业园区（高新二区）</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序号</w:t>
            </w:r>
          </w:p>
        </w:tc>
        <w:tc>
          <w:tcPr>
            <w:tcW w:w="2125"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企业名称</w:t>
            </w:r>
          </w:p>
        </w:tc>
        <w:tc>
          <w:tcPr>
            <w:tcW w:w="607"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联系人</w:t>
            </w:r>
          </w:p>
        </w:tc>
        <w:tc>
          <w:tcPr>
            <w:tcW w:w="946"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1</w:t>
            </w:r>
          </w:p>
        </w:tc>
        <w:tc>
          <w:tcPr>
            <w:tcW w:w="988"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抚顺佳龙商品混凝土有限公司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李兴武</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13898346788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13941327886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抚顺市和谐炭素制品有限公司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尹胤旭</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13941352129</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抚顺市三和油脂有限公司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杨柏桩</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13904135119</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抚顺市圣兴高温合金研究所</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孙敬兴        孙  润</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13019666927   18741372888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13904137840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抚顺远东混凝土有限公司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曹福臣</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13841323588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抚顺旌瀚化工经贸有限公司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曲  琳</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13904131115</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抚顺市凯旋运输有限公司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祝德胜</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15898338868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抚顺市东方碳素有限公司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陈  刚</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15041399999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15242388888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抚顺澎健药业有限公司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冯振泰</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15842357777</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13841309898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辽宁拜斯特复合材料有限公司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邬  放</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13940517731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抚顺东科精细化工有限公司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  勇         丁继宇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13841393666    13470528881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13700139521</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13841335021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抚顺东艺物贸有限公司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郭  鹏</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13332127766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抚顺市秀霖化工有限公司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胡  斌</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13904137898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抚顺市禄通化工有限公司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孟爱民</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13941366955</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辽宁泰重起重机有限公司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  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13304132799</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抚顺市东欣气体有限公司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郭 丽</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13841300833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抚顺德成化工有限公司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黄德成</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13889285622</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辽宁宜浦科技发展有限公司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刘志远</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13304130908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抚顺市安治化工有限公司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叶立平</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13009240534</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抚顺市得济化工有限公司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王总</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于忠林</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18604235616</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13804931000</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54410238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21</w:t>
            </w:r>
          </w:p>
        </w:tc>
        <w:tc>
          <w:tcPr>
            <w:tcW w:w="2125" w:type="pct"/>
            <w:tcBorders>
              <w:tl2br w:val="nil"/>
              <w:tr2bl w:val="nil"/>
            </w:tcBorders>
            <w:vAlign w:val="center"/>
          </w:tcPr>
          <w:p>
            <w:pPr>
              <w:widowControl/>
              <w:spacing w:before="0" w:beforeLines="0" w:line="240" w:lineRule="exact"/>
              <w:ind w:firstLine="0" w:firstLineChars="0"/>
              <w:jc w:val="center"/>
              <w:textAlignment w:val="top"/>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抚顺云瀚石化机械设备工贸有限公司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13804237686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抚顺唯特化工有限公司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  刚</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13841327666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23</w:t>
            </w:r>
          </w:p>
        </w:tc>
        <w:tc>
          <w:tcPr>
            <w:tcW w:w="2125" w:type="pct"/>
            <w:tcBorders>
              <w:tl2br w:val="nil"/>
              <w:tr2bl w:val="nil"/>
            </w:tcBorders>
            <w:vAlign w:val="center"/>
          </w:tcPr>
          <w:p>
            <w:pPr>
              <w:widowControl/>
              <w:spacing w:before="0" w:beforeLines="0" w:line="240" w:lineRule="exact"/>
              <w:ind w:firstLine="0" w:firstLineChars="0"/>
              <w:jc w:val="center"/>
              <w:textAlignment w:val="top"/>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抚顺华凯机电设备制造有限公司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王成林</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18604239996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辽宁抚清助剂有限公司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陈春</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13604137979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13238137966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辽宁后金生物科技有限公司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陶力</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徐部长</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15842306666</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13941364442</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26</w:t>
            </w:r>
          </w:p>
        </w:tc>
        <w:tc>
          <w:tcPr>
            <w:tcW w:w="2125" w:type="pct"/>
            <w:tcBorders>
              <w:tl2br w:val="nil"/>
              <w:tr2bl w:val="nil"/>
            </w:tcBorders>
            <w:vAlign w:val="center"/>
          </w:tcPr>
          <w:p>
            <w:pPr>
              <w:widowControl/>
              <w:spacing w:before="0" w:beforeLines="0" w:line="240" w:lineRule="exact"/>
              <w:ind w:firstLine="0" w:firstLineChars="0"/>
              <w:jc w:val="center"/>
              <w:textAlignment w:val="top"/>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抚顺恒祥化工有限公司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刘博涛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13941305333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抚顺市鑫龙化工有限公司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袁冬玉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13904138802</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抚顺兴瑞化工有限公司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孙力申</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13304234037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抚顺天际新型筑路材料有限公司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邴凯</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13940016877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30</w:t>
            </w:r>
          </w:p>
        </w:tc>
        <w:tc>
          <w:tcPr>
            <w:tcW w:w="2125" w:type="pct"/>
            <w:tcBorders>
              <w:tl2br w:val="nil"/>
              <w:tr2bl w:val="nil"/>
            </w:tcBorders>
            <w:vAlign w:val="center"/>
          </w:tcPr>
          <w:p>
            <w:pPr>
              <w:widowControl/>
              <w:spacing w:before="0" w:beforeLines="0" w:line="240" w:lineRule="exact"/>
              <w:ind w:firstLine="0" w:firstLineChars="0"/>
              <w:jc w:val="center"/>
              <w:textAlignment w:val="top"/>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抚顺裕龙化工有限公司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周立柱</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13841333681</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15541379999</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辽宁路通化工有限公司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  晓</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13804132005</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15304135555</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抚顺市光大石化有限公司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唐  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13904231808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抚顺龙文炭业制造有限公司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郭柏存</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13941333456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抚顺市双旗茂业化工有限公司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王甫彬</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15041385555</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18910358585</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抚顺市危险废物处理有限公司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赵符钧</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13842379888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辽宁佳仑实业有限公司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尹桂娟</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13904938338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37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抚顺超俊化工有限公司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王超</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15842353470</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38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抚顺东源同泰塑料化工有限公司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李宏洋</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13841393333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39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抚顺亿龙化工有限公司（丰和新材料）</w:t>
            </w:r>
          </w:p>
        </w:tc>
        <w:tc>
          <w:tcPr>
            <w:tcW w:w="607"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46"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13212112888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40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抚顺市新光精细化工有限责任公司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郭宝才</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13940102015</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41</w:t>
            </w:r>
          </w:p>
        </w:tc>
        <w:tc>
          <w:tcPr>
            <w:tcW w:w="2125" w:type="pct"/>
            <w:tcBorders>
              <w:tl2br w:val="nil"/>
              <w:tr2bl w:val="nil"/>
            </w:tcBorders>
            <w:vAlign w:val="center"/>
          </w:tcPr>
          <w:p>
            <w:pPr>
              <w:widowControl/>
              <w:spacing w:before="0" w:beforeLines="0" w:line="240" w:lineRule="exact"/>
              <w:ind w:firstLine="0" w:firstLineChars="0"/>
              <w:jc w:val="center"/>
              <w:textAlignment w:val="top"/>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抚顺雪邦化工有限公司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徐瑞军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13941334449</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42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辽宁宝辰石油化工有限公司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乔克先</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13904235253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lang w:val="en-US"/>
              </w:rPr>
              <w:t>43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抚顺天宇石化工贸有限公司</w:t>
            </w:r>
          </w:p>
        </w:tc>
        <w:tc>
          <w:tcPr>
            <w:tcW w:w="607"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46"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13504134433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抚顺淏文工贸有限公司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郑志良</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15841313991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辽宁双旗精细化工有限公司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王甫彬</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asciiTheme="minorEastAsia" w:hAnsiTheme="minorEastAsia" w:eastAsiaTheme="minorEastAsia"/>
                <w:kern w:val="0"/>
                <w:sz w:val="21"/>
                <w:szCs w:val="21"/>
                <w:lang w:bidi="ar"/>
              </w:rPr>
              <w:t>15041385555</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抚顺天宇石化工贸有限公司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关家发</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18940399000</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15941343555</w:t>
            </w:r>
          </w:p>
        </w:tc>
        <w:tc>
          <w:tcPr>
            <w:tcW w:w="988" w:type="pct"/>
            <w:tcBorders>
              <w:tl2br w:val="nil"/>
              <w:tr2bl w:val="nil"/>
            </w:tcBorders>
            <w:vAlign w:val="center"/>
          </w:tcPr>
          <w:p>
            <w:pPr>
              <w:spacing w:before="0" w:beforeLines="0" w:line="240" w:lineRule="exact"/>
              <w:ind w:firstLine="0" w:firstLineChars="0"/>
              <w:jc w:val="center"/>
              <w:rPr>
                <w:rFonts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抚顺兴科威化工厂</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王贺廷</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14741580999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2"/>
                <w:sz w:val="21"/>
                <w:szCs w:val="21"/>
                <w:lang w:val="en-US" w:eastAsia="zh-CN" w:bidi="ar-SA"/>
              </w:rPr>
            </w:pPr>
            <w:r>
              <w:rPr>
                <w:rFonts w:asciiTheme="minorEastAsia" w:hAnsiTheme="minorEastAsia" w:eastAsiaTheme="minorEastAsia"/>
                <w:kern w:val="0"/>
                <w:sz w:val="21"/>
                <w:szCs w:val="21"/>
                <w:lang w:bidi="ar"/>
              </w:rPr>
              <w:t>13009241923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抚顺市双旗贸业有限公司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胡军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15002497777</w:t>
            </w:r>
          </w:p>
        </w:tc>
        <w:tc>
          <w:tcPr>
            <w:tcW w:w="988" w:type="pct"/>
            <w:tcBorders>
              <w:tl2br w:val="nil"/>
              <w:tr2bl w:val="nil"/>
            </w:tcBorders>
            <w:vAlign w:val="center"/>
          </w:tcPr>
          <w:p>
            <w:pPr>
              <w:spacing w:before="0" w:beforeLines="0" w:line="240" w:lineRule="exact"/>
              <w:ind w:firstLine="0" w:firstLineChars="0"/>
              <w:jc w:val="center"/>
              <w:rPr>
                <w:rFonts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49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台湾钧泰化工有限公司（与抚清助剂有限公司合作）</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陈春</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13604137979</w:t>
            </w:r>
          </w:p>
        </w:tc>
        <w:tc>
          <w:tcPr>
            <w:tcW w:w="988" w:type="pct"/>
            <w:tcBorders>
              <w:tl2br w:val="nil"/>
              <w:tr2bl w:val="nil"/>
            </w:tcBorders>
            <w:vAlign w:val="center"/>
          </w:tcPr>
          <w:p>
            <w:pPr>
              <w:spacing w:before="0" w:beforeLines="0" w:line="240" w:lineRule="exact"/>
              <w:ind w:firstLine="0" w:firstLineChars="0"/>
              <w:jc w:val="center"/>
              <w:rPr>
                <w:rFonts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50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抚顺星环再生资源科技有限公司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牟学军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13841393456</w:t>
            </w:r>
          </w:p>
        </w:tc>
        <w:tc>
          <w:tcPr>
            <w:tcW w:w="988" w:type="pct"/>
            <w:tcBorders>
              <w:tl2br w:val="nil"/>
              <w:tr2bl w:val="nil"/>
            </w:tcBorders>
            <w:vAlign w:val="center"/>
          </w:tcPr>
          <w:p>
            <w:pPr>
              <w:spacing w:before="0" w:beforeLines="0" w:line="240" w:lineRule="exact"/>
              <w:ind w:firstLine="0" w:firstLineChars="0"/>
              <w:jc w:val="center"/>
              <w:rPr>
                <w:rFonts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51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抚顺华宇新材料有限公司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袁顺福</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kern w:val="0"/>
                <w:sz w:val="21"/>
                <w:szCs w:val="21"/>
                <w:lang w:bidi="ar"/>
              </w:rPr>
              <w:t>13801539058</w:t>
            </w:r>
          </w:p>
        </w:tc>
        <w:tc>
          <w:tcPr>
            <w:tcW w:w="988" w:type="pct"/>
            <w:tcBorders>
              <w:tl2br w:val="nil"/>
              <w:tr2bl w:val="nil"/>
            </w:tcBorders>
            <w:vAlign w:val="center"/>
          </w:tcPr>
          <w:p>
            <w:pPr>
              <w:spacing w:before="0" w:beforeLines="0" w:line="240" w:lineRule="exact"/>
              <w:ind w:firstLine="0" w:firstLineChars="0"/>
              <w:jc w:val="center"/>
              <w:rPr>
                <w:rFonts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52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kern w:val="0"/>
                <w:sz w:val="21"/>
                <w:szCs w:val="21"/>
                <w:lang w:bidi="ar"/>
              </w:rPr>
            </w:pPr>
            <w:r>
              <w:rPr>
                <w:rFonts w:hint="eastAsia" w:asciiTheme="minorEastAsia" w:hAnsiTheme="minorEastAsia" w:eastAsiaTheme="minorEastAsia"/>
                <w:color w:val="auto"/>
                <w:sz w:val="21"/>
                <w:szCs w:val="21"/>
                <w:highlight w:val="none"/>
                <w:lang w:val="en-US" w:eastAsia="zh-CN"/>
              </w:rPr>
              <w:t>辽宁东翔化工科技有限公司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default" w:asciiTheme="minorEastAsia" w:hAnsiTheme="minorEastAsia" w:eastAsiaTheme="minorEastAsia"/>
                <w:kern w:val="0"/>
                <w:sz w:val="21"/>
                <w:szCs w:val="21"/>
                <w:lang w:val="en-US" w:eastAsia="zh-CN" w:bidi="ar"/>
              </w:rPr>
            </w:pPr>
            <w:r>
              <w:rPr>
                <w:rFonts w:hint="eastAsia" w:asciiTheme="minorEastAsia" w:hAnsiTheme="minorEastAsia" w:eastAsiaTheme="minorEastAsia"/>
                <w:kern w:val="0"/>
                <w:sz w:val="21"/>
                <w:szCs w:val="21"/>
                <w:lang w:val="en-US" w:eastAsia="zh-CN" w:bidi="ar"/>
              </w:rPr>
              <w:t>王军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asciiTheme="minorEastAsia" w:hAnsiTheme="minorEastAsia" w:eastAsiaTheme="minorEastAsia"/>
                <w:kern w:val="0"/>
                <w:sz w:val="21"/>
                <w:szCs w:val="21"/>
                <w:lang w:val="en-US" w:eastAsia="zh-CN" w:bidi="ar"/>
              </w:rPr>
            </w:pPr>
            <w:r>
              <w:rPr>
                <w:rFonts w:hint="eastAsia" w:asciiTheme="minorEastAsia" w:hAnsiTheme="minorEastAsia" w:eastAsiaTheme="minorEastAsia"/>
                <w:kern w:val="0"/>
                <w:sz w:val="21"/>
                <w:szCs w:val="21"/>
                <w:lang w:val="en-US" w:eastAsia="zh-CN" w:bidi="ar"/>
              </w:rPr>
              <w:t>15941396606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5000" w:type="pct"/>
            <w:gridSpan w:val="5"/>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海新工业园区（高新三区）</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序号</w:t>
            </w:r>
          </w:p>
        </w:tc>
        <w:tc>
          <w:tcPr>
            <w:tcW w:w="2125"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企业名称</w:t>
            </w:r>
          </w:p>
        </w:tc>
        <w:tc>
          <w:tcPr>
            <w:tcW w:w="607"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联系人</w:t>
            </w:r>
          </w:p>
        </w:tc>
        <w:tc>
          <w:tcPr>
            <w:tcW w:w="946"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1</w:t>
            </w:r>
          </w:p>
        </w:tc>
        <w:tc>
          <w:tcPr>
            <w:tcW w:w="988"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辽宁亚克力塑胶有限公司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姬振英</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13030705938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15841324616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抚顺华兴石油化工有限公司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薛志贤           陆行军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15841310333    15841352499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18904231202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抚顺新凤样精细化工有限公司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孙方旭</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13504075788   13998890311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抚顺旭日模具制造有限公司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杜晓光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13804131169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13504234052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抚顺市金胜马门业有限公司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马海涛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13304930508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抚顺蓝亚精细化工有限公司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王为</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15141399998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13942359421</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抚顺新安石化设备制造有限公司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唐凤岐</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13942363386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13942388586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抚顺中茂特种润滑油有限公司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15842330077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抚顺市金天科工贸有限公司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郭副厂长</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13804230958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抚顺亿龙工程材料有限公司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王凤军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13904136705</w:t>
            </w:r>
            <w:r>
              <w:rPr>
                <w:rFonts w:asciiTheme="minorEastAsia" w:hAnsiTheme="minorEastAsia" w:eastAsiaTheme="minorEastAsia"/>
                <w:kern w:val="0"/>
                <w:sz w:val="21"/>
                <w:szCs w:val="21"/>
                <w:lang w:bidi="ar"/>
              </w:rPr>
              <w:br w:type="textWrapping"/>
            </w:r>
            <w:r>
              <w:rPr>
                <w:rFonts w:asciiTheme="minorEastAsia" w:hAnsiTheme="minorEastAsia" w:eastAsiaTheme="minorEastAsia"/>
                <w:kern w:val="0"/>
                <w:sz w:val="21"/>
                <w:szCs w:val="21"/>
                <w:lang w:bidi="ar"/>
              </w:rPr>
              <w:t>13332139993</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54626999</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抚顺华信石油机械制造有限公司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刘林</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13704939674</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13604139494</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恒大防腐管业有限公司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郑连谊</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13942306766</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13842316100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抚顺哥俩好化学有限公司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杨猛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13942350002</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 xml:space="preserve">辽宁弘邦化工科技有限公司 </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高树军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13704931066</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抚顺安达金属结构有限公司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萧源</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15904139351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抚顺和益塑编有限公司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鲍大为</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13804232323</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抚顺市东诺精细化工有限公司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王立东</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13842370000</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 xml:space="preserve">抚顺市众象物流 </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胡军</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15002497777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抚顺市一帆顺经贸有限公司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王志宇</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13504230699</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抚顺明业新型炭材料有限公司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张连全</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13804137338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13704131686</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抚顺中茂石油化工有限公司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李振</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15842330077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5000" w:type="pct"/>
            <w:gridSpan w:val="5"/>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青草沟工业园区（高新四区）</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序号</w:t>
            </w:r>
          </w:p>
        </w:tc>
        <w:tc>
          <w:tcPr>
            <w:tcW w:w="2125"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企业名称</w:t>
            </w:r>
          </w:p>
        </w:tc>
        <w:tc>
          <w:tcPr>
            <w:tcW w:w="607"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联系人</w:t>
            </w:r>
          </w:p>
        </w:tc>
        <w:tc>
          <w:tcPr>
            <w:tcW w:w="946"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lang w:val="en-US"/>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1</w:t>
            </w:r>
          </w:p>
        </w:tc>
        <w:tc>
          <w:tcPr>
            <w:tcW w:w="988"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联系电话</w:t>
            </w:r>
            <w:r>
              <w:rPr>
                <w:rFonts w:cs="Times New Roman" w:asciiTheme="minorEastAsia" w:hAnsiTheme="minorEastAsia" w:eastAsiaTheme="minorEastAsia"/>
                <w:sz w:val="21"/>
                <w:szCs w:val="21"/>
                <w:lang w:val="en-US"/>
              </w:rPr>
              <w:t>2</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抚顺润益化工有限公司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朱胜国</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13130333333</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13841356563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辽宁东盛通用机械制造有限公司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李忠英</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15141316888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13124133933</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3</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抚顺彤鑫环保设备制造有限公司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吴波</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15898333888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4</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抚顺华力环保机械制造公司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周祥海</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13904934961</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5</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抚顺通运重型机械制造有限公司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孙烈飞</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13130300007   13364230007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6</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辽宁潍麟生物科技有限公司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毕延波           张奕晶</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15941330677   13941308808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13591556868</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7</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抚顺德润环保机械制造公司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康景娟</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13941373487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8</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抚顺来祥包装制品有限公司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刘亚斌          李相忠</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15242365917   18841712729</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13704934857</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9</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辽宁佳隆环保机械制造公司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李兴武</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18641367777</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10</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新北仓物流</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张代海</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18641380000</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 xml:space="preserve">  联宇（抚顺）蜡业有限公司</w:t>
            </w:r>
          </w:p>
        </w:tc>
        <w:tc>
          <w:tcPr>
            <w:tcW w:w="607"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46"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15642007280</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cs="Times New Roman" w:asciiTheme="minorEastAsia" w:hAnsiTheme="minorEastAsia" w:eastAsiaTheme="minorEastAsia"/>
                <w:sz w:val="21"/>
                <w:szCs w:val="21"/>
              </w:rPr>
            </w:pPr>
            <w:r>
              <w:rPr>
                <w:rFonts w:cs="Times New Roman" w:asciiTheme="minorEastAsia" w:hAnsiTheme="minorEastAsia" w:eastAsiaTheme="minorEastAsia"/>
                <w:sz w:val="21"/>
                <w:szCs w:val="21"/>
              </w:rPr>
              <w:t>12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抚顺伟达石油化工配件有限公司</w:t>
            </w:r>
          </w:p>
        </w:tc>
        <w:tc>
          <w:tcPr>
            <w:tcW w:w="607"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asciiTheme="minorEastAsia" w:hAnsiTheme="minorEastAsia" w:eastAsiaTheme="minorEastAsia"/>
                <w:sz w:val="21"/>
                <w:szCs w:val="21"/>
              </w:rPr>
            </w:pPr>
            <w:r>
              <w:rPr>
                <w:rFonts w:asciiTheme="minorEastAsia" w:hAnsiTheme="minorEastAsia" w:eastAsiaTheme="minorEastAsia"/>
                <w:kern w:val="0"/>
                <w:sz w:val="21"/>
                <w:szCs w:val="21"/>
                <w:lang w:bidi="ar"/>
              </w:rPr>
              <w:t>13841300958</w:t>
            </w:r>
          </w:p>
        </w:tc>
        <w:tc>
          <w:tcPr>
            <w:tcW w:w="988" w:type="pct"/>
            <w:tcBorders>
              <w:tl2br w:val="nil"/>
              <w:tr2bl w:val="nil"/>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32"/>
              <w:spacing w:before="0" w:beforeLines="0" w:line="240" w:lineRule="exact"/>
              <w:ind w:firstLine="0" w:firstLineChars="0"/>
              <w:jc w:val="center"/>
              <w:rPr>
                <w:rFonts w:hint="default" w:cs="Times New Roman" w:asciiTheme="minorEastAsia" w:hAnsiTheme="minorEastAsia" w:eastAsiaTheme="minorEastAsia"/>
                <w:color w:val="auto"/>
                <w:kern w:val="2"/>
                <w:sz w:val="21"/>
                <w:szCs w:val="21"/>
                <w:highlight w:val="none"/>
                <w:lang w:val="en-US" w:eastAsia="zh-CN" w:bidi="ar-SA"/>
              </w:rPr>
            </w:pPr>
            <w:bookmarkStart w:id="161" w:name="_Toc116111006"/>
            <w:r>
              <w:rPr>
                <w:rFonts w:hint="eastAsia" w:cs="Times New Roman" w:asciiTheme="minorEastAsia" w:hAnsiTheme="minorEastAsia" w:eastAsiaTheme="minorEastAsia"/>
                <w:color w:val="auto"/>
                <w:sz w:val="21"/>
                <w:szCs w:val="21"/>
                <w:highlight w:val="none"/>
                <w:lang w:val="en-US" w:eastAsia="zh-CN"/>
              </w:rPr>
              <w:t>13</w:t>
            </w:r>
          </w:p>
        </w:tc>
        <w:tc>
          <w:tcPr>
            <w:tcW w:w="2125" w:type="pct"/>
            <w:tcBorders>
              <w:tl2br w:val="nil"/>
              <w:tr2bl w:val="nil"/>
            </w:tcBorders>
            <w:vAlign w:val="center"/>
          </w:tcPr>
          <w:p>
            <w:pPr>
              <w:pStyle w:val="32"/>
              <w:spacing w:before="0" w:beforeLines="0" w:line="240" w:lineRule="exact"/>
              <w:ind w:firstLine="0" w:firstLineChars="0"/>
              <w:jc w:val="center"/>
              <w:rPr>
                <w:rFonts w:hint="default"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抚顺天力矿用机电装备有限公司</w:t>
            </w:r>
          </w:p>
        </w:tc>
        <w:tc>
          <w:tcPr>
            <w:tcW w:w="607"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asciiTheme="minorEastAsia" w:hAnsiTheme="minorEastAsia" w:eastAsiaTheme="minorEastAsia"/>
                <w:color w:val="auto"/>
                <w:sz w:val="21"/>
                <w:szCs w:val="21"/>
                <w:highlight w:val="none"/>
                <w:lang w:val="en-US" w:eastAsia="zh-CN"/>
              </w:rPr>
              <w:t>张晶华</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val="en-US" w:eastAsia="zh-CN" w:bidi="ar"/>
              </w:rPr>
              <w:t>13841341822</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32"/>
              <w:spacing w:before="0" w:beforeLines="0" w:line="240" w:lineRule="exact"/>
              <w:ind w:firstLine="0" w:firstLineChars="0"/>
              <w:jc w:val="center"/>
              <w:rPr>
                <w:rFonts w:hint="default"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14</w:t>
            </w:r>
          </w:p>
        </w:tc>
        <w:tc>
          <w:tcPr>
            <w:tcW w:w="2125" w:type="pct"/>
            <w:tcBorders>
              <w:tl2br w:val="nil"/>
              <w:tr2bl w:val="nil"/>
            </w:tcBorders>
            <w:vAlign w:val="center"/>
          </w:tcPr>
          <w:p>
            <w:pPr>
              <w:pStyle w:val="32"/>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抚顺北方电气设备有限公司</w:t>
            </w:r>
          </w:p>
        </w:tc>
        <w:tc>
          <w:tcPr>
            <w:tcW w:w="607"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asciiTheme="minorEastAsia" w:hAnsiTheme="minorEastAsia" w:eastAsiaTheme="minorEastAsia"/>
                <w:color w:val="auto"/>
                <w:sz w:val="21"/>
                <w:szCs w:val="21"/>
                <w:highlight w:val="none"/>
                <w:lang w:val="en-US" w:eastAsia="zh-CN"/>
              </w:rPr>
              <w:t>张权</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val="en-US" w:eastAsia="zh-CN" w:bidi="ar"/>
              </w:rPr>
              <w:t>13841388030</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32"/>
              <w:spacing w:before="0" w:beforeLines="0" w:line="240" w:lineRule="exact"/>
              <w:ind w:firstLine="0" w:firstLineChars="0"/>
              <w:jc w:val="center"/>
              <w:rPr>
                <w:rFonts w:hint="default"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15</w:t>
            </w:r>
          </w:p>
        </w:tc>
        <w:tc>
          <w:tcPr>
            <w:tcW w:w="2125" w:type="pct"/>
            <w:tcBorders>
              <w:tl2br w:val="nil"/>
              <w:tr2bl w:val="nil"/>
            </w:tcBorders>
            <w:vAlign w:val="center"/>
          </w:tcPr>
          <w:p>
            <w:pPr>
              <w:pStyle w:val="32"/>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抚顺市天勤金属制品厂</w:t>
            </w:r>
          </w:p>
        </w:tc>
        <w:tc>
          <w:tcPr>
            <w:tcW w:w="607"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asciiTheme="minorEastAsia" w:hAnsiTheme="minorEastAsia" w:eastAsiaTheme="minorEastAsia"/>
                <w:color w:val="auto"/>
                <w:sz w:val="21"/>
                <w:szCs w:val="21"/>
                <w:highlight w:val="none"/>
                <w:lang w:val="en-US" w:eastAsia="zh-CN"/>
              </w:rPr>
              <w:t>王光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val="en-US" w:eastAsia="zh-CN" w:bidi="ar"/>
              </w:rPr>
              <w:t>13804138990</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5000" w:type="pct"/>
            <w:gridSpan w:val="5"/>
            <w:tcBorders>
              <w:tl2br w:val="nil"/>
              <w:tr2bl w:val="nil"/>
            </w:tcBorders>
            <w:vAlign w:val="center"/>
          </w:tcPr>
          <w:p>
            <w:pPr>
              <w:spacing w:before="0" w:beforeLines="0" w:line="240" w:lineRule="exact"/>
              <w:ind w:firstLine="0" w:firstLineChars="0"/>
              <w:jc w:val="center"/>
              <w:rPr>
                <w:rFonts w:hint="eastAsia" w:asciiTheme="minorEastAsia" w:hAnsiTheme="minorEastAsia" w:eastAsiaTheme="minorEastAsia"/>
                <w:color w:val="auto"/>
                <w:sz w:val="21"/>
                <w:szCs w:val="21"/>
                <w:highlight w:val="none"/>
              </w:rPr>
            </w:pPr>
            <w:r>
              <w:rPr>
                <w:rFonts w:hint="eastAsia" w:asciiTheme="minorEastAsia" w:hAnsiTheme="minorEastAsia"/>
                <w:color w:val="auto"/>
                <w:kern w:val="0"/>
                <w:sz w:val="21"/>
                <w:szCs w:val="21"/>
                <w:highlight w:val="none"/>
                <w:lang w:val="en-US" w:eastAsia="zh-CN" w:bidi="ar"/>
              </w:rPr>
              <w:t>再生产业园</w:t>
            </w:r>
            <w:r>
              <w:rPr>
                <w:rFonts w:hint="eastAsia" w:asciiTheme="minorEastAsia" w:hAnsiTheme="minorEastAsia" w:eastAsiaTheme="minorEastAsia"/>
                <w:color w:val="auto"/>
                <w:kern w:val="0"/>
                <w:sz w:val="21"/>
                <w:szCs w:val="21"/>
                <w:highlight w:val="none"/>
                <w:lang w:bidi="ar"/>
              </w:rPr>
              <w:t>工业园区（高新</w:t>
            </w:r>
            <w:r>
              <w:rPr>
                <w:rFonts w:hint="eastAsia" w:asciiTheme="minorEastAsia" w:hAnsiTheme="minorEastAsia"/>
                <w:color w:val="auto"/>
                <w:kern w:val="0"/>
                <w:sz w:val="21"/>
                <w:szCs w:val="21"/>
                <w:highlight w:val="none"/>
                <w:lang w:val="en-US" w:eastAsia="zh-CN" w:bidi="ar"/>
              </w:rPr>
              <w:t>五</w:t>
            </w:r>
            <w:r>
              <w:rPr>
                <w:rFonts w:hint="eastAsia" w:asciiTheme="minorEastAsia" w:hAnsiTheme="minorEastAsia" w:eastAsiaTheme="minorEastAsia"/>
                <w:color w:val="auto"/>
                <w:kern w:val="0"/>
                <w:sz w:val="21"/>
                <w:szCs w:val="21"/>
                <w:highlight w:val="none"/>
                <w:lang w:bidi="ar"/>
              </w:rPr>
              <w:t>区）</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hint="eastAsia" w:cs="Times New Roman" w:asciiTheme="minorEastAsia" w:hAnsiTheme="minorEastAsia" w:eastAsiaTheme="minorEastAsia"/>
                <w:color w:val="auto"/>
                <w:sz w:val="21"/>
                <w:szCs w:val="21"/>
                <w:lang w:val="en-US" w:eastAsia="zh-CN"/>
              </w:rPr>
            </w:pPr>
            <w:r>
              <w:rPr>
                <w:rFonts w:hint="eastAsia" w:cs="Times New Roman" w:asciiTheme="minorEastAsia" w:hAnsiTheme="minorEastAsia" w:eastAsiaTheme="minorEastAsia"/>
                <w:color w:val="auto"/>
                <w:sz w:val="21"/>
                <w:szCs w:val="21"/>
                <w:lang w:val="en-US" w:eastAsia="zh-CN"/>
              </w:rPr>
              <w:t>1</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auto"/>
                <w:kern w:val="2"/>
                <w:sz w:val="21"/>
                <w:szCs w:val="21"/>
                <w:lang w:val="en-US" w:eastAsia="zh-CN" w:bidi="ar-SA"/>
              </w:rPr>
            </w:pPr>
            <w:r>
              <w:rPr>
                <w:rFonts w:asciiTheme="minorEastAsia" w:hAnsiTheme="minorEastAsia" w:eastAsiaTheme="minorEastAsia"/>
                <w:color w:val="auto"/>
                <w:kern w:val="0"/>
                <w:sz w:val="21"/>
                <w:szCs w:val="21"/>
                <w:lang w:bidi="ar"/>
              </w:rPr>
              <w:t>辽宁特力环保科技有限公司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auto"/>
                <w:kern w:val="2"/>
                <w:sz w:val="21"/>
                <w:szCs w:val="21"/>
                <w:lang w:val="en-US" w:eastAsia="zh-CN" w:bidi="ar-SA"/>
              </w:rPr>
            </w:pPr>
            <w:r>
              <w:rPr>
                <w:rFonts w:asciiTheme="minorEastAsia" w:hAnsiTheme="minorEastAsia" w:eastAsiaTheme="minorEastAsia"/>
                <w:color w:val="auto"/>
                <w:kern w:val="0"/>
                <w:sz w:val="21"/>
                <w:szCs w:val="21"/>
                <w:lang w:bidi="ar"/>
              </w:rPr>
              <w:t>王灵星</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auto"/>
                <w:kern w:val="2"/>
                <w:sz w:val="21"/>
                <w:szCs w:val="21"/>
                <w:lang w:val="en-US" w:eastAsia="zh-CN" w:bidi="ar-SA"/>
              </w:rPr>
            </w:pPr>
            <w:r>
              <w:rPr>
                <w:rFonts w:asciiTheme="minorEastAsia" w:hAnsiTheme="minorEastAsia" w:eastAsiaTheme="minorEastAsia"/>
                <w:color w:val="auto"/>
                <w:kern w:val="0"/>
                <w:sz w:val="21"/>
                <w:szCs w:val="21"/>
                <w:lang w:bidi="ar"/>
              </w:rPr>
              <w:t>18741318888</w:t>
            </w:r>
          </w:p>
        </w:tc>
        <w:tc>
          <w:tcPr>
            <w:tcW w:w="988"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kern w:val="0"/>
                <w:sz w:val="21"/>
                <w:szCs w:val="21"/>
                <w:lang w:bidi="ar"/>
                <w14:textFill>
                  <w14:solidFill>
                    <w14:schemeClr w14:val="tx1"/>
                  </w14:solidFill>
                </w14:textFill>
              </w:rPr>
              <w:t>58607777</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hint="eastAsia" w:cs="Times New Roman" w:asciiTheme="minorEastAsia" w:hAnsiTheme="minorEastAsia" w:eastAsiaTheme="minorEastAsia"/>
                <w:color w:val="auto"/>
                <w:sz w:val="21"/>
                <w:szCs w:val="21"/>
                <w:lang w:val="en-US" w:eastAsia="zh-CN"/>
              </w:rPr>
            </w:pPr>
            <w:r>
              <w:rPr>
                <w:rFonts w:hint="eastAsia" w:cs="Times New Roman" w:asciiTheme="minorEastAsia" w:hAnsiTheme="minorEastAsia" w:eastAsiaTheme="minorEastAsia"/>
                <w:color w:val="auto"/>
                <w:sz w:val="21"/>
                <w:szCs w:val="21"/>
                <w:lang w:val="en-US" w:eastAsia="zh-CN"/>
              </w:rPr>
              <w:t>2</w:t>
            </w:r>
          </w:p>
        </w:tc>
        <w:tc>
          <w:tcPr>
            <w:tcW w:w="2125"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auto"/>
                <w:kern w:val="0"/>
                <w:sz w:val="21"/>
                <w:szCs w:val="21"/>
                <w:lang w:val="en-US" w:eastAsia="zh-CN" w:bidi="ar"/>
              </w:rPr>
            </w:pPr>
            <w:r>
              <w:rPr>
                <w:rFonts w:asciiTheme="minorEastAsia" w:hAnsiTheme="minorEastAsia" w:eastAsiaTheme="minorEastAsia"/>
                <w:color w:val="auto"/>
                <w:kern w:val="0"/>
                <w:sz w:val="21"/>
                <w:szCs w:val="21"/>
                <w:lang w:bidi="ar"/>
              </w:rPr>
              <w:t>辽宁博大环保产业有限公司</w:t>
            </w:r>
          </w:p>
        </w:tc>
        <w:tc>
          <w:tcPr>
            <w:tcW w:w="607" w:type="pct"/>
            <w:tcBorders>
              <w:tl2br w:val="nil"/>
              <w:tr2bl w:val="nil"/>
            </w:tcBorders>
            <w:vAlign w:val="center"/>
          </w:tcPr>
          <w:p>
            <w:pPr>
              <w:widowControl/>
              <w:spacing w:before="0" w:beforeLines="0" w:line="240" w:lineRule="exact"/>
              <w:ind w:firstLine="0" w:firstLineChars="0"/>
              <w:jc w:val="center"/>
              <w:textAlignment w:val="center"/>
              <w:rPr>
                <w:rFonts w:hint="eastAsia" w:cs="Times New Roman" w:asciiTheme="minorEastAsia" w:hAnsiTheme="minorEastAsia" w:eastAsiaTheme="minorEastAsia"/>
                <w:color w:val="auto"/>
                <w:kern w:val="0"/>
                <w:sz w:val="21"/>
                <w:szCs w:val="21"/>
                <w:lang w:val="en-US" w:eastAsia="zh-CN" w:bidi="ar"/>
              </w:rPr>
            </w:pPr>
            <w:r>
              <w:rPr>
                <w:rFonts w:asciiTheme="minorEastAsia" w:hAnsiTheme="minorEastAsia" w:eastAsiaTheme="minorEastAsia"/>
                <w:color w:val="auto"/>
                <w:kern w:val="0"/>
                <w:sz w:val="21"/>
                <w:szCs w:val="21"/>
                <w:lang w:bidi="ar"/>
              </w:rPr>
              <w:t>何小玉</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auto"/>
                <w:kern w:val="0"/>
                <w:sz w:val="21"/>
                <w:szCs w:val="21"/>
                <w:lang w:val="en-US" w:eastAsia="zh-CN" w:bidi="ar"/>
              </w:rPr>
            </w:pPr>
            <w:r>
              <w:rPr>
                <w:rFonts w:asciiTheme="minorEastAsia" w:hAnsiTheme="minorEastAsia" w:eastAsiaTheme="minorEastAsia"/>
                <w:color w:val="auto"/>
                <w:kern w:val="0"/>
                <w:sz w:val="21"/>
                <w:szCs w:val="21"/>
                <w:lang w:bidi="ar"/>
              </w:rPr>
              <w:t>15841399999</w:t>
            </w:r>
          </w:p>
        </w:tc>
        <w:tc>
          <w:tcPr>
            <w:tcW w:w="988"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sz w:val="21"/>
                <w:szCs w:val="21"/>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3</w:t>
            </w:r>
          </w:p>
        </w:tc>
        <w:tc>
          <w:tcPr>
            <w:tcW w:w="2125" w:type="pct"/>
            <w:tcBorders>
              <w:tl2br w:val="nil"/>
              <w:tr2bl w:val="nil"/>
            </w:tcBorders>
            <w:vAlign w:val="center"/>
          </w:tcPr>
          <w:p>
            <w:pPr>
              <w:pStyle w:val="32"/>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辽宁昆仑汉兴氢能源科技有限公司</w:t>
            </w:r>
          </w:p>
        </w:tc>
        <w:tc>
          <w:tcPr>
            <w:tcW w:w="607"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asciiTheme="minorEastAsia" w:hAnsiTheme="minorEastAsia" w:eastAsiaTheme="minorEastAsia"/>
                <w:color w:val="auto"/>
                <w:sz w:val="21"/>
                <w:szCs w:val="21"/>
                <w:highlight w:val="none"/>
              </w:rPr>
              <w:t>金鑫</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hint="default"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val="en-US" w:eastAsia="zh-CN" w:bidi="ar"/>
              </w:rPr>
              <w:t>15841338110</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r>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3" w:type="pct"/>
            <w:tcBorders>
              <w:tl2br w:val="nil"/>
              <w:tr2bl w:val="nil"/>
            </w:tcBorders>
            <w:vAlign w:val="center"/>
          </w:tcPr>
          <w:p>
            <w:pPr>
              <w:pStyle w:val="78"/>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4</w:t>
            </w:r>
          </w:p>
        </w:tc>
        <w:tc>
          <w:tcPr>
            <w:tcW w:w="2125" w:type="pct"/>
            <w:tcBorders>
              <w:tl2br w:val="nil"/>
              <w:tr2bl w:val="nil"/>
            </w:tcBorders>
            <w:vAlign w:val="center"/>
          </w:tcPr>
          <w:p>
            <w:pPr>
              <w:pStyle w:val="32"/>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cs="Times New Roman" w:asciiTheme="minorEastAsia" w:hAnsiTheme="minorEastAsia" w:eastAsiaTheme="minorEastAsia"/>
                <w:color w:val="auto"/>
                <w:sz w:val="21"/>
                <w:szCs w:val="21"/>
                <w:highlight w:val="none"/>
                <w:lang w:val="en-US" w:eastAsia="zh-CN"/>
              </w:rPr>
              <w:t>辽宁祥顺气体有限公司</w:t>
            </w:r>
          </w:p>
        </w:tc>
        <w:tc>
          <w:tcPr>
            <w:tcW w:w="607" w:type="pct"/>
            <w:tcBorders>
              <w:tl2br w:val="nil"/>
              <w:tr2bl w:val="nil"/>
            </w:tcBorders>
            <w:vAlign w:val="center"/>
          </w:tcPr>
          <w:p>
            <w:pPr>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highlight w:val="none"/>
                <w:lang w:val="en-US" w:eastAsia="zh-CN" w:bidi="ar-SA"/>
              </w:rPr>
            </w:pPr>
            <w:r>
              <w:rPr>
                <w:rFonts w:hint="eastAsia" w:asciiTheme="minorEastAsia" w:hAnsiTheme="minorEastAsia" w:eastAsiaTheme="minorEastAsia"/>
                <w:color w:val="auto"/>
                <w:sz w:val="21"/>
                <w:szCs w:val="21"/>
                <w:highlight w:val="none"/>
                <w:lang w:val="en-US" w:eastAsia="zh-CN"/>
              </w:rPr>
              <w:t>包永健</w:t>
            </w:r>
          </w:p>
        </w:tc>
        <w:tc>
          <w:tcPr>
            <w:tcW w:w="946" w:type="pct"/>
            <w:tcBorders>
              <w:tl2br w:val="nil"/>
              <w:tr2bl w:val="nil"/>
            </w:tcBorders>
            <w:vAlign w:val="center"/>
          </w:tcPr>
          <w:p>
            <w:pPr>
              <w:widowControl/>
              <w:spacing w:before="0" w:beforeLines="0" w:line="240" w:lineRule="exact"/>
              <w:ind w:firstLine="0" w:firstLineChars="0"/>
              <w:jc w:val="center"/>
              <w:textAlignment w:val="center"/>
              <w:rPr>
                <w:rFonts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bidi="ar"/>
              </w:rPr>
              <w:t>15042392099</w:t>
            </w:r>
          </w:p>
        </w:tc>
        <w:tc>
          <w:tcPr>
            <w:tcW w:w="988" w:type="pct"/>
            <w:tcBorders>
              <w:tl2br w:val="nil"/>
              <w:tr2bl w:val="nil"/>
            </w:tcBorders>
            <w:vAlign w:val="center"/>
          </w:tcPr>
          <w:p>
            <w:pPr>
              <w:spacing w:before="0" w:beforeLines="0" w:line="240" w:lineRule="exact"/>
              <w:ind w:left="0" w:leftChars="0" w:firstLine="0" w:firstLineChars="0"/>
              <w:jc w:val="center"/>
              <w:rPr>
                <w:rFonts w:hint="eastAsia" w:cs="Times New Roman" w:asciiTheme="minorEastAsia" w:hAnsiTheme="minorEastAsia" w:eastAsiaTheme="minorEastAsia"/>
                <w:kern w:val="2"/>
                <w:sz w:val="21"/>
                <w:szCs w:val="21"/>
                <w:lang w:val="en-US" w:eastAsia="zh-CN" w:bidi="ar-SA"/>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w:t>
            </w:r>
          </w:p>
        </w:tc>
      </w:tr>
    </w:tbl>
    <w:p>
      <w:pPr>
        <w:pStyle w:val="4"/>
        <w:spacing w:before="156"/>
        <w:ind w:left="301" w:hanging="301"/>
        <w:rPr>
          <w:color w:val="000000" w:themeColor="text1"/>
          <w14:textFill>
            <w14:solidFill>
              <w14:schemeClr w14:val="tx1"/>
            </w14:solidFill>
          </w14:textFill>
        </w:rPr>
      </w:pPr>
      <w:r>
        <w:rPr>
          <w:rFonts w:hint="eastAsia"/>
          <w:color w:val="000000" w:themeColor="text1"/>
          <w14:textFill>
            <w14:solidFill>
              <w14:schemeClr w14:val="tx1"/>
            </w14:solidFill>
          </w14:textFill>
        </w:rPr>
        <w:t>附件4 工程应急救援协助单位应急物资清单</w:t>
      </w:r>
      <w:bookmarkEnd w:id="161"/>
    </w:p>
    <w:p>
      <w:pPr>
        <w:pStyle w:val="2"/>
        <w:spacing w:before="156"/>
        <w:ind w:firstLine="480"/>
      </w:pPr>
      <w:r>
        <w:rPr>
          <w:rFonts w:hint="eastAsia"/>
        </w:rPr>
        <w:t xml:space="preserve">一、抚顺银隆建筑有限公司 </w:t>
      </w:r>
      <w:r>
        <w:t xml:space="preserve"> </w:t>
      </w:r>
      <w:r>
        <w:rPr>
          <w:rFonts w:hint="eastAsia"/>
        </w:rPr>
        <w:t xml:space="preserve">    联系人：刘志忠 </w:t>
      </w:r>
      <w:r>
        <w:t xml:space="preserve"> </w:t>
      </w:r>
      <w:r>
        <w:rPr>
          <w:rFonts w:hint="eastAsia"/>
        </w:rPr>
        <w:t>13332121988</w:t>
      </w:r>
    </w:p>
    <w:tbl>
      <w:tblPr>
        <w:tblStyle w:val="54"/>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701"/>
        <w:gridCol w:w="1276"/>
        <w:gridCol w:w="851"/>
        <w:gridCol w:w="850"/>
        <w:gridCol w:w="992"/>
        <w:gridCol w:w="851"/>
        <w:gridCol w:w="709"/>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序号</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机械或设备名称</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型号</w:t>
            </w:r>
          </w:p>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规格</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数量</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国别产地</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制造年份</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额定功率（KW）</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生产能力</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反铲挖掘机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SY245H</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斗容1.5m</w:t>
            </w:r>
            <w:r>
              <w:rPr>
                <w:rFonts w:hint="eastAsia"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轮式装载机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XG956N</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2015年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斗容2.2m</w:t>
            </w:r>
            <w:r>
              <w:rPr>
                <w:rFonts w:hint="eastAsia"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汽车起重机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STC250C5-1</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柴油发电机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50KVA</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2017年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柴油发电机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30KVA</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2017年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自卸车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8*4</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载货汽车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1.5T</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污水泵</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4寸</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2018年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洒水车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10m</w:t>
            </w:r>
            <w:r>
              <w:rPr>
                <w:rFonts w:hint="eastAsia" w:asciiTheme="minorEastAsia" w:hAnsiTheme="minorEastAsia" w:eastAsiaTheme="minorEastAsia"/>
                <w:sz w:val="21"/>
                <w:szCs w:val="21"/>
                <w:vertAlign w:val="superscript"/>
              </w:rPr>
              <w:t>3</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2017年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洒水车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5m</w:t>
            </w:r>
            <w:r>
              <w:rPr>
                <w:rFonts w:hint="eastAsia" w:asciiTheme="minorEastAsia" w:hAnsiTheme="minorEastAsia" w:eastAsiaTheme="minorEastAsia"/>
                <w:sz w:val="21"/>
                <w:szCs w:val="21"/>
                <w:vertAlign w:val="superscript"/>
              </w:rPr>
              <w:t>3</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r>
              <w:rPr>
                <w:rFonts w:hint="eastAsia" w:asciiTheme="minorEastAsia" w:hAnsiTheme="minorEastAsia" w:eastAsiaTheme="minorEastAsia"/>
                <w:sz w:val="21"/>
                <w:szCs w:val="21"/>
              </w:rPr>
              <w:t>台</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中国</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2017年</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755" w:type="dxa"/>
            <w:gridSpan w:val="9"/>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可配置力工30人，电工5人，现场管理人员2人</w:t>
            </w:r>
          </w:p>
        </w:tc>
      </w:tr>
    </w:tbl>
    <w:p>
      <w:pPr>
        <w:pStyle w:val="2"/>
        <w:spacing w:before="156"/>
        <w:ind w:firstLine="480"/>
      </w:pPr>
      <w:r>
        <w:rPr>
          <w:rFonts w:hint="eastAsia"/>
        </w:rPr>
        <w:t xml:space="preserve">二、辽宁中光城建工程有限公司 </w:t>
      </w:r>
      <w:r>
        <w:t xml:space="preserve"> </w:t>
      </w:r>
      <w:r>
        <w:rPr>
          <w:rFonts w:hint="eastAsia"/>
        </w:rPr>
        <w:t xml:space="preserve">联系人：侯彦志 </w:t>
      </w:r>
      <w:r>
        <w:t xml:space="preserve"> </w:t>
      </w:r>
      <w:r>
        <w:rPr>
          <w:rFonts w:hint="eastAsia"/>
        </w:rPr>
        <w:t>18940376567</w:t>
      </w:r>
    </w:p>
    <w:tbl>
      <w:tblPr>
        <w:tblStyle w:val="54"/>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701"/>
        <w:gridCol w:w="1276"/>
        <w:gridCol w:w="851"/>
        <w:gridCol w:w="850"/>
        <w:gridCol w:w="992"/>
        <w:gridCol w:w="851"/>
        <w:gridCol w:w="709"/>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exact"/>
          <w:tblHeader/>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序号</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机械或设备名称</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型号</w:t>
            </w:r>
          </w:p>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规格</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数量</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国别产地</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制造年份</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额定功率（KW）</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生产能力</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发电机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50GF112</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徐州</w:t>
            </w:r>
          </w:p>
        </w:tc>
        <w:tc>
          <w:tcPr>
            <w:tcW w:w="992" w:type="dxa"/>
            <w:noWrap/>
            <w:vAlign w:val="center"/>
          </w:tcPr>
          <w:p>
            <w:pPr>
              <w:widowControl/>
              <w:adjustRightInd w:val="0"/>
              <w:snapToGri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120</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装载机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ZL40C</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柳工</w:t>
            </w:r>
          </w:p>
        </w:tc>
        <w:tc>
          <w:tcPr>
            <w:tcW w:w="992" w:type="dxa"/>
            <w:noWrap/>
            <w:vAlign w:val="center"/>
          </w:tcPr>
          <w:p>
            <w:pPr>
              <w:widowControl/>
              <w:adjustRightInd w:val="0"/>
              <w:snapToGri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2015</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140</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高空作业车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12米</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长沙</w:t>
            </w:r>
          </w:p>
        </w:tc>
        <w:tc>
          <w:tcPr>
            <w:tcW w:w="992" w:type="dxa"/>
            <w:noWrap/>
            <w:vAlign w:val="center"/>
          </w:tcPr>
          <w:p>
            <w:pPr>
              <w:widowControl/>
              <w:adjustRightInd w:val="0"/>
              <w:snapToGri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2018</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挖掘机</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SY210c</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日本</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135</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850" w:type="dxa"/>
            <w:noWrap/>
            <w:vAlign w:val="center"/>
          </w:tcPr>
          <w:p>
            <w:pPr>
              <w:pStyle w:val="91"/>
              <w:autoSpaceDE w:val="0"/>
              <w:autoSpaceDN w:val="0"/>
              <w:adjustRightInd w:val="0"/>
              <w:spacing w:line="240" w:lineRule="exact"/>
              <w:jc w:val="center"/>
              <w:rPr>
                <w:rFonts w:asciiTheme="minorEastAsia" w:hAnsiTheme="minorEastAsia" w:eastAsiaTheme="minor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载重自卸汽车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992" w:type="dxa"/>
            <w:noWrap/>
            <w:vAlign w:val="center"/>
          </w:tcPr>
          <w:p>
            <w:pPr>
              <w:widowControl/>
              <w:adjustRightInd w:val="0"/>
              <w:snapToGri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2016</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180</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吊车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XL-25</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国产</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2004</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240</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绿化洒水车</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BC75-605H</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国产</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2004</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110</w:t>
            </w: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手锯</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德之助</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国产</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2019</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75"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p>
        </w:tc>
        <w:tc>
          <w:tcPr>
            <w:tcW w:w="170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高架剪</w:t>
            </w:r>
          </w:p>
        </w:tc>
        <w:tc>
          <w:tcPr>
            <w:tcW w:w="1276"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德之助</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850"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国产</w:t>
            </w:r>
          </w:p>
        </w:tc>
        <w:tc>
          <w:tcPr>
            <w:tcW w:w="992"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2020</w:t>
            </w:r>
          </w:p>
        </w:tc>
        <w:tc>
          <w:tcPr>
            <w:tcW w:w="851"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p>
        </w:tc>
        <w:tc>
          <w:tcPr>
            <w:tcW w:w="709" w:type="dxa"/>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良好</w:t>
            </w:r>
          </w:p>
        </w:tc>
        <w:tc>
          <w:tcPr>
            <w:tcW w:w="850" w:type="dxa"/>
            <w:noWrap/>
            <w:vAlign w:val="center"/>
          </w:tcPr>
          <w:p>
            <w:pPr>
              <w:pStyle w:val="91"/>
              <w:spacing w:line="240" w:lineRule="exact"/>
              <w:jc w:val="center"/>
              <w:rPr>
                <w:rFonts w:asciiTheme="minorEastAsia" w:hAnsiTheme="minorEastAsia"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755" w:type="dxa"/>
            <w:gridSpan w:val="9"/>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可配置力工25人，电工5人，现场管理人员2人</w:t>
            </w:r>
          </w:p>
        </w:tc>
      </w:tr>
    </w:tbl>
    <w:p>
      <w:pPr>
        <w:pStyle w:val="4"/>
        <w:spacing w:before="156"/>
        <w:ind w:left="301" w:hanging="301"/>
        <w:rPr>
          <w:color w:val="000000" w:themeColor="text1"/>
          <w14:textFill>
            <w14:solidFill>
              <w14:schemeClr w14:val="tx1"/>
            </w14:solidFill>
          </w14:textFill>
        </w:rPr>
      </w:pPr>
      <w:bookmarkStart w:id="162" w:name="_Toc116111007"/>
      <w:r>
        <w:rPr>
          <w:rFonts w:hint="eastAsia"/>
          <w:color w:val="000000" w:themeColor="text1"/>
          <w14:textFill>
            <w14:solidFill>
              <w14:schemeClr w14:val="tx1"/>
            </w14:solidFill>
          </w14:textFill>
        </w:rPr>
        <w:t>附件5 事故废水转运应急救援协助单位应急物资清单</w:t>
      </w:r>
      <w:bookmarkEnd w:id="162"/>
    </w:p>
    <w:tbl>
      <w:tblPr>
        <w:tblStyle w:val="54"/>
        <w:tblW w:w="5205" w:type="pct"/>
        <w:tblInd w:w="0" w:type="dxa"/>
        <w:tblLayout w:type="fixed"/>
        <w:tblCellMar>
          <w:top w:w="0" w:type="dxa"/>
          <w:left w:w="108" w:type="dxa"/>
          <w:bottom w:w="0" w:type="dxa"/>
          <w:right w:w="108" w:type="dxa"/>
        </w:tblCellMar>
      </w:tblPr>
      <w:tblGrid>
        <w:gridCol w:w="133"/>
        <w:gridCol w:w="550"/>
        <w:gridCol w:w="133"/>
        <w:gridCol w:w="2301"/>
        <w:gridCol w:w="158"/>
        <w:gridCol w:w="977"/>
        <w:gridCol w:w="1277"/>
        <w:gridCol w:w="204"/>
        <w:gridCol w:w="1639"/>
        <w:gridCol w:w="1373"/>
        <w:gridCol w:w="133"/>
      </w:tblGrid>
      <w:tr>
        <w:tblPrEx>
          <w:tblCellMar>
            <w:top w:w="0" w:type="dxa"/>
            <w:left w:w="108" w:type="dxa"/>
            <w:bottom w:w="0" w:type="dxa"/>
            <w:right w:w="108" w:type="dxa"/>
          </w:tblCellMar>
        </w:tblPrEx>
        <w:trPr>
          <w:gridAfter w:val="1"/>
          <w:wAfter w:w="74" w:type="pct"/>
          <w:trHeight w:val="425" w:hRule="exact"/>
        </w:trPr>
        <w:tc>
          <w:tcPr>
            <w:tcW w:w="4925" w:type="pct"/>
            <w:gridSpan w:val="10"/>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（一）事故废水应急处置罐车</w:t>
            </w: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序号</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车牌号</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容积</w:t>
            </w:r>
          </w:p>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(m</w:t>
            </w:r>
            <w:r>
              <w:rPr>
                <w:rFonts w:asciiTheme="minorEastAsia" w:hAnsiTheme="minorEastAsia" w:eastAsiaTheme="minorEastAsia"/>
                <w:sz w:val="21"/>
                <w:szCs w:val="21"/>
                <w:vertAlign w:val="superscript"/>
              </w:rPr>
              <w:t>3</w:t>
            </w:r>
            <w:r>
              <w:rPr>
                <w:rFonts w:hint="eastAsia" w:asciiTheme="minorEastAsia" w:hAnsiTheme="minorEastAsia" w:eastAsiaTheme="minorEastAsia"/>
                <w:sz w:val="21"/>
                <w:szCs w:val="21"/>
              </w:rPr>
              <w:t>)</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司机姓名</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联系电话</w:t>
            </w:r>
          </w:p>
        </w:tc>
        <w:tc>
          <w:tcPr>
            <w:tcW w:w="773" w:type="pct"/>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所属单位</w:t>
            </w: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辽D0651A辽D651B挂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  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18242385011</w:t>
            </w:r>
          </w:p>
        </w:tc>
        <w:tc>
          <w:tcPr>
            <w:tcW w:w="773" w:type="pct"/>
            <w:vMerge w:val="restart"/>
            <w:tcBorders>
              <w:top w:val="single" w:color="000000" w:sz="4" w:space="0"/>
              <w:left w:val="single" w:color="000000" w:sz="4" w:space="0"/>
              <w:bottom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抚顺江波汽车货运有限公司</w:t>
            </w:r>
          </w:p>
          <w:p>
            <w:pPr>
              <w:pStyle w:val="32"/>
              <w:spacing w:before="0" w:beforeLines="0" w:line="24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高总：13842301333</w:t>
            </w: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辽D0652A辽D652B挂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周德巍</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18242385012</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辽D43815辽D4535挂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王福军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18242385014</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辽D43925辽D4570挂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丁  利</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18242385015</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辽D44370辽D4580挂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郑连宏</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18242385016</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辽D80292辽D4205挂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刘铁钢</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18242385017</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辽D80553辽D4733挂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李玉峰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18242385018</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辽D80579辽D3843挂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  爽</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18242385019</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辽D80586辽D4748挂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  亮</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18242385020</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辽D80596辽D4687挂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田文力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18242385021</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辽D81796辽D6639挂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  岩</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18242385024</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辽D81812辽D6125挂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武  威</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18242385025</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辽D81850辽D6611挂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王向阳</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182423850206</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辽D81859辽D6620挂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韩贤喜</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18242385028</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辽D81883辽D6616挂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袁旭波</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18242385029</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辽D81890辽D6608挂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宫恩鑫</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18242385030</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辽D81900辽D6221挂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陈  威</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18242385031</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辽D81911辽D6610挂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张宏宇</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18242385032</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辽D82221辽D6981挂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郑连军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18242385048</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辽D82238辽D6850挂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  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18242385053</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辽D82257辽D6823挂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朱永成</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18242385054</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辽D82267辽D6835挂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赵金成</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18242385055</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辽D82270辽D6960挂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曹志勇</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18242385056</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辽D82272辽D6865挂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  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18242385057</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辽D82279辽D6870挂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梁寒峰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18242385058</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辽D82282辽D6955挂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罗清弟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18242385059</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辽D82289辽D6851挂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刘忠胜</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18242385060</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辽D82296辽D6968挂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郭  锐</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18242385061</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辽D82300辽D6920挂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吴万群</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18242385062</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辽D82303辽D6967挂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李克兢</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18242385063</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辽D82305辽D6965挂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张智慧</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18242385064</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辽D82306辽D6921挂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范庆辉</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18242385065</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辽D82307辽D6959挂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金庆海</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18242385003</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辽D82315辽D6925挂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黄  飞</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18242385067</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辽D82320辽D6830挂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陶乃谦</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18242385068</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辽D82326辽D6957挂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杨春贵</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18242385069</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辽D82329辽D6820挂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白秋生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18242385070</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辽D82338辽D6980挂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谭红军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18242385071</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辽DB3112辽DD701挂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马学民</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18242385013</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辽DB3115辽DD381挂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衣  宾</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18242385001</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辽DB3133辽DD335挂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  萍</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18242385005</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辽DB3167辽DD765挂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程树斌</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18242385004</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辽DB3280辽DD781挂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孙  刚</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18242385066</w:t>
            </w:r>
          </w:p>
        </w:tc>
        <w:tc>
          <w:tcPr>
            <w:tcW w:w="7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辽DB3307辽DD788挂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吴海山</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18242385007</w:t>
            </w:r>
          </w:p>
        </w:tc>
        <w:tc>
          <w:tcPr>
            <w:tcW w:w="773" w:type="pct"/>
            <w:vMerge w:val="restart"/>
            <w:tcBorders>
              <w:top w:val="single" w:color="000000" w:sz="4" w:space="0"/>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辽宁双旗石化仓储物流有限公司</w:t>
            </w:r>
          </w:p>
          <w:p>
            <w:pPr>
              <w:pStyle w:val="32"/>
              <w:spacing w:before="0" w:beforeLines="0" w:line="24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冯冻果： 15898323380</w:t>
            </w: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辽DB3361辽DD329挂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刘成刚</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18242385002</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辽DB3513辽DD775挂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齐潘龙</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18242385006</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辽D81650辽D6637挂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王建仁</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15041319327</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辽D81857辽D6627挂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高培海</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15041387542</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辽D0650A辽D650B挂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张立新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18642316567</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辽D82038辽D6885挂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刘永昶</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18242385033</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辽D82072辽D6550挂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张喜祥</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18242385034</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辽D82132辽D6883挂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朱启彬</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18242385035</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辽D82156辽D6800挂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黄  恒</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18242385036</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辽D82158辽D6881挂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杨月军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18242385037</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辽D82167辽D6876挂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崔保华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18242385038</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辽D82169辽D6875挂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胡海涛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18242385039</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辽D82181辽D6825挂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陈爱男</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18242385040</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辽D82198辽D6503挂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魏宪阳</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18242385041</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辽D82205辽D6821挂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李天宝</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18242385042</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辽D82207辽D6380挂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吕兴华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18242385043</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辽D82210辽D6901挂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赵忠义</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18242385044</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辽D82215辽D6711挂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夏宏峰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18242385045</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辽D82217辽D6816挂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王太友</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18242385046</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辽D82218辽D6887挂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鲍  科</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18242385047</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辽D82225辽D6808挂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王丙盛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18242385049</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辽D82230辽D6880挂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薛  嵩</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18242385050</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辽D82232辽D6671挂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刘拥军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18242385051</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辽D82235辽D6877挂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薛  勇</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18242385052</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辽D81590辽D6878挂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石长久</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18242385022</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辽DB0821辽DH017挂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吴守勇</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18242385073</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辽DB7797辽DJ090挂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申长伟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18242385074</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辽DB3281辽DF006挂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刘永明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18242385075</w:t>
            </w:r>
          </w:p>
        </w:tc>
        <w:tc>
          <w:tcPr>
            <w:tcW w:w="773" w:type="pct"/>
            <w:vMerge w:val="continue"/>
            <w:tcBorders>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辽DB7173辽DJ626挂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唐  光</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18242385078</w:t>
            </w:r>
          </w:p>
        </w:tc>
        <w:tc>
          <w:tcPr>
            <w:tcW w:w="773" w:type="pct"/>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辽DB5808辽DG100挂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刘元庆</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18242385076</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辽DB1127辽DH036挂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王洪生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18242385077</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辽DB3270辽DJ080挂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赵华刚</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18242385079</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辽DB1207辽DH033挂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  兵</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18242385009</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辽DB9060辽DH057挂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马  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18242385072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辽DB1185辽DJ016挂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邵永刚</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18242385008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辽DB9325辽DC605挂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赵洪巍</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辽DB8527辽DC657挂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  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18242385081</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辽DB8153辽DC230挂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周志国</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辽DB8320辽DC334挂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张团结</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18242385083</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辽DB8771辽DC811挂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吴守智</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18242385084</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辽DB8107辽DC261挂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衣旭锋</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辽DB8202辽DC410挂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田春生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18242385086</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辽DB8203辽DC252挂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  智</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18242385087</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辽DB8275辽DC262挂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田  浩</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辽DB8926辽DC073挂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刘志红</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18242385089</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辽DB5920辽DH091挂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潘友良</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辽DB8920辽DH301挂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赵振林</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18242385091</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辽DB8307辽DH815挂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陆忠双</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辽DB8215辽DH060挂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秦万鹏</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18242385093</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辽DB8921辽DD678挂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姜利军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18242385094</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辽DB8621辽DH329挂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石立松</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辽DB8103辽DH015挂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王德宽</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18242385097</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辽DB8571辽DC099挂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马  纯</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辽DB8623辽DK777挂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申长江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18242385099</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辽DB8752辽DF918挂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李成明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辽DB8962辽DG129挂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孟繁明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18242385101</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辽DB8713辽DL999挂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  鹏</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辽DB8216辽DL608挂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井  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18242385103</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辽DB8201辽DG012挂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杨  利</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18242385104</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辽DB8562辽DF037挂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崔  顺</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18242385105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辽DB5176辽DJ015挂</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45</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刘亚军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13804133475</w:t>
            </w:r>
          </w:p>
        </w:tc>
        <w:tc>
          <w:tcPr>
            <w:tcW w:w="773" w:type="pct"/>
            <w:vMerge w:val="continue"/>
            <w:tcBorders>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辽D32051</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焦彦春</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13504237715</w:t>
            </w:r>
          </w:p>
        </w:tc>
        <w:tc>
          <w:tcPr>
            <w:tcW w:w="773" w:type="pct"/>
            <w:vMerge w:val="restart"/>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抚顺市凯旋运输有限公司</w:t>
            </w:r>
          </w:p>
          <w:p>
            <w:pPr>
              <w:pStyle w:val="32"/>
              <w:spacing w:before="0" w:beforeLines="0" w:line="24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祝总：15898338868</w:t>
            </w: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辽D82609</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孙晓东</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13942352352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辽DB9193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崔旭</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18904938118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辽DC1528</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郭伟前</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13841399660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辽D80798</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刘树江</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13842326118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辽D82426</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徐国龙</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13500432525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辽DB1755</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孟昭发</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15641398882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辽DB1523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侯立</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13284138100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辽D39363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马俊川</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15941323434</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辽DB3973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李建华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13081323747</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116</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辽D82580</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朱孝峰</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13500439236</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117</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辽D39677</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张成德</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15802415775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118</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辽D39907</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范长河</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18841340302</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119</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辽D41627</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金振华</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15041368500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120</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辽D40113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申景海</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13654137490</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121</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辽D42415</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霍闯</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15141357065</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122</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辽D80422</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姚兴宏</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13130303237</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123</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辽D81203</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王世财</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15710514488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124</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辽D82319</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单军</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13841363528</w:t>
            </w:r>
          </w:p>
        </w:tc>
        <w:tc>
          <w:tcPr>
            <w:tcW w:w="773" w:type="pct"/>
            <w:vMerge w:val="continue"/>
            <w:tcBorders>
              <w:left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widowControl/>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125</w:t>
            </w:r>
          </w:p>
        </w:tc>
        <w:tc>
          <w:tcPr>
            <w:tcW w:w="1370"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辽D82332</w:t>
            </w:r>
          </w:p>
        </w:tc>
        <w:tc>
          <w:tcPr>
            <w:tcW w:w="639"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w:t>
            </w:r>
          </w:p>
        </w:tc>
        <w:tc>
          <w:tcPr>
            <w:tcW w:w="719" w:type="pct"/>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张润成</w:t>
            </w:r>
          </w:p>
        </w:tc>
        <w:tc>
          <w:tcPr>
            <w:tcW w:w="1037" w:type="pct"/>
            <w:gridSpan w:val="2"/>
            <w:tcBorders>
              <w:top w:val="single" w:color="000000" w:sz="4" w:space="0"/>
              <w:left w:val="single" w:color="000000" w:sz="4" w:space="0"/>
              <w:bottom w:val="single" w:color="000000" w:sz="4" w:space="0"/>
              <w:right w:val="single" w:color="000000" w:sz="4" w:space="0"/>
            </w:tcBorders>
            <w:noWrap/>
            <w:vAlign w:val="center"/>
          </w:tcPr>
          <w:p>
            <w:pPr>
              <w:adjustRightInd w:val="0"/>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13942367018</w:t>
            </w:r>
          </w:p>
        </w:tc>
        <w:tc>
          <w:tcPr>
            <w:tcW w:w="773" w:type="pct"/>
            <w:vMerge w:val="continue"/>
            <w:tcBorders>
              <w:left w:val="single" w:color="000000" w:sz="4" w:space="0"/>
              <w:bottom w:val="single" w:color="000000" w:sz="4" w:space="0"/>
              <w:right w:val="single" w:color="000000" w:sz="4" w:space="0"/>
            </w:tcBorders>
            <w:vAlign w:val="center"/>
          </w:tcPr>
          <w:p>
            <w:pPr>
              <w:widowControl/>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jc w:val="center"/>
        </w:trPr>
        <w:tc>
          <w:tcPr>
            <w:tcW w:w="4925" w:type="pct"/>
            <w:gridSpan w:val="10"/>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（二）应急转运水泵</w:t>
            </w: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1459"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水泵型号（车辆）</w:t>
            </w:r>
          </w:p>
        </w:tc>
        <w:tc>
          <w:tcPr>
            <w:tcW w:w="1384" w:type="pct"/>
            <w:gridSpan w:val="3"/>
            <w:tcBorders>
              <w:top w:val="single" w:color="000000" w:sz="4" w:space="0"/>
              <w:left w:val="single" w:color="000000" w:sz="4" w:space="0"/>
              <w:bottom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排水量（立方米/小时）</w:t>
            </w:r>
          </w:p>
        </w:tc>
        <w:tc>
          <w:tcPr>
            <w:tcW w:w="1696"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存放位置</w:t>
            </w: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1459"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八</w:t>
            </w:r>
            <w:r>
              <w:rPr>
                <w:rFonts w:asciiTheme="minorEastAsia" w:hAnsiTheme="minorEastAsia" w:eastAsiaTheme="minorEastAsia"/>
                <w:sz w:val="21"/>
                <w:szCs w:val="21"/>
              </w:rPr>
              <w:t>寸（大泵）</w:t>
            </w:r>
          </w:p>
        </w:tc>
        <w:tc>
          <w:tcPr>
            <w:tcW w:w="1384" w:type="pct"/>
            <w:gridSpan w:val="3"/>
            <w:tcBorders>
              <w:top w:val="single" w:color="000000" w:sz="4" w:space="0"/>
              <w:left w:val="single" w:color="000000" w:sz="4" w:space="0"/>
              <w:bottom w:val="single" w:color="auto"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w:t>
            </w:r>
          </w:p>
        </w:tc>
        <w:tc>
          <w:tcPr>
            <w:tcW w:w="1696" w:type="pct"/>
            <w:gridSpan w:val="2"/>
            <w:vMerge w:val="restart"/>
            <w:tcBorders>
              <w:top w:val="single" w:color="000000" w:sz="4" w:space="0"/>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东泽污水厂</w:t>
            </w:r>
          </w:p>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刘学斌 19841366646</w:t>
            </w: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1459"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八</w:t>
            </w:r>
            <w:r>
              <w:rPr>
                <w:rFonts w:asciiTheme="minorEastAsia" w:hAnsiTheme="minorEastAsia" w:eastAsiaTheme="minorEastAsia"/>
                <w:sz w:val="21"/>
                <w:szCs w:val="21"/>
              </w:rPr>
              <w:t>寸（大泵）</w:t>
            </w:r>
          </w:p>
        </w:tc>
        <w:tc>
          <w:tcPr>
            <w:tcW w:w="1384" w:type="pct"/>
            <w:gridSpan w:val="3"/>
            <w:tcBorders>
              <w:top w:val="single" w:color="auto" w:sz="4" w:space="0"/>
              <w:left w:val="single" w:color="000000" w:sz="4" w:space="0"/>
              <w:bottom w:val="single" w:color="auto"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w:t>
            </w:r>
          </w:p>
        </w:tc>
        <w:tc>
          <w:tcPr>
            <w:tcW w:w="1696" w:type="pct"/>
            <w:gridSpan w:val="2"/>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p>
        </w:tc>
        <w:tc>
          <w:tcPr>
            <w:tcW w:w="1459" w:type="pct"/>
            <w:gridSpan w:val="3"/>
            <w:tcBorders>
              <w:top w:val="single" w:color="000000"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四寸潜水泵</w:t>
            </w:r>
          </w:p>
        </w:tc>
        <w:tc>
          <w:tcPr>
            <w:tcW w:w="1384" w:type="pct"/>
            <w:gridSpan w:val="3"/>
            <w:tcBorders>
              <w:top w:val="single" w:color="auto" w:sz="4" w:space="0"/>
              <w:left w:val="single" w:color="000000" w:sz="4" w:space="0"/>
              <w:bottom w:val="single" w:color="auto"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w:t>
            </w:r>
          </w:p>
        </w:tc>
        <w:tc>
          <w:tcPr>
            <w:tcW w:w="1696" w:type="pct"/>
            <w:gridSpan w:val="2"/>
            <w:vMerge w:val="continue"/>
            <w:tcBorders>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auto"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p>
        </w:tc>
        <w:tc>
          <w:tcPr>
            <w:tcW w:w="1459" w:type="pct"/>
            <w:gridSpan w:val="3"/>
            <w:tcBorders>
              <w:top w:val="single" w:color="auto"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六寸潜水泵</w:t>
            </w:r>
          </w:p>
        </w:tc>
        <w:tc>
          <w:tcPr>
            <w:tcW w:w="1384" w:type="pct"/>
            <w:gridSpan w:val="3"/>
            <w:tcBorders>
              <w:top w:val="single" w:color="auto" w:sz="4" w:space="0"/>
              <w:left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120</w:t>
            </w:r>
          </w:p>
        </w:tc>
        <w:tc>
          <w:tcPr>
            <w:tcW w:w="1696" w:type="pct"/>
            <w:gridSpan w:val="2"/>
            <w:vMerge w:val="restart"/>
            <w:tcBorders>
              <w:top w:val="single" w:color="000000" w:sz="4" w:space="0"/>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抚顺市新抚康泉机电经销处</w:t>
            </w:r>
          </w:p>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赵经理 13019657579</w:t>
            </w: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1459"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四寸潜水泵</w:t>
            </w:r>
          </w:p>
        </w:tc>
        <w:tc>
          <w:tcPr>
            <w:tcW w:w="1384" w:type="pct"/>
            <w:gridSpan w:val="3"/>
            <w:tcBorders>
              <w:top w:val="single" w:color="auto" w:sz="4" w:space="0"/>
              <w:left w:val="single" w:color="000000" w:sz="4" w:space="0"/>
              <w:bottom w:val="single" w:color="auto"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1696" w:type="pct"/>
            <w:gridSpan w:val="2"/>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After w:val="1"/>
          <w:wAfter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w:t>
            </w:r>
          </w:p>
        </w:tc>
        <w:tc>
          <w:tcPr>
            <w:tcW w:w="1459"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四寸潜水泵</w:t>
            </w:r>
          </w:p>
        </w:tc>
        <w:tc>
          <w:tcPr>
            <w:tcW w:w="1384" w:type="pct"/>
            <w:gridSpan w:val="3"/>
            <w:tcBorders>
              <w:top w:val="single" w:color="auto" w:sz="4" w:space="0"/>
              <w:left w:val="single" w:color="000000" w:sz="4" w:space="0"/>
              <w:bottom w:val="single" w:color="000000" w:sz="4" w:space="0"/>
              <w:right w:val="single" w:color="000000" w:sz="4" w:space="0"/>
            </w:tcBorders>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1696" w:type="pct"/>
            <w:gridSpan w:val="2"/>
            <w:vMerge w:val="continue"/>
            <w:tcBorders>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Before w:val="1"/>
          <w:wBefore w:w="74" w:type="pct"/>
          <w:trHeight w:val="425" w:hRule="exact"/>
          <w:jc w:val="center"/>
        </w:trPr>
        <w:tc>
          <w:tcPr>
            <w:tcW w:w="4925" w:type="pct"/>
            <w:gridSpan w:val="10"/>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（三）应急电源</w:t>
            </w: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1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发电机型号</w:t>
            </w:r>
          </w:p>
        </w:tc>
        <w:tc>
          <w:tcPr>
            <w:tcW w:w="1384"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备注</w:t>
            </w:r>
          </w:p>
        </w:tc>
        <w:tc>
          <w:tcPr>
            <w:tcW w:w="1771" w:type="pct"/>
            <w:gridSpan w:val="3"/>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存放位置</w:t>
            </w: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1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５０ＫＷ</w:t>
            </w:r>
          </w:p>
        </w:tc>
        <w:tc>
          <w:tcPr>
            <w:tcW w:w="1384" w:type="pct"/>
            <w:gridSpan w:val="3"/>
            <w:tcBorders>
              <w:top w:val="single" w:color="000000"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自发电（柴油）</w:t>
            </w:r>
          </w:p>
        </w:tc>
        <w:tc>
          <w:tcPr>
            <w:tcW w:w="1771" w:type="pct"/>
            <w:gridSpan w:val="3"/>
            <w:vMerge w:val="restart"/>
            <w:tcBorders>
              <w:top w:val="single" w:color="000000" w:sz="4" w:space="0"/>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抚顺市新抚区白杨物资租赁经营处</w:t>
            </w:r>
          </w:p>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白</w:t>
            </w:r>
            <w:r>
              <w:rPr>
                <w:rFonts w:hint="eastAsia" w:asciiTheme="minorEastAsia" w:hAnsiTheme="minorEastAsia" w:eastAsiaTheme="minorEastAsia"/>
                <w:sz w:val="21"/>
                <w:szCs w:val="21"/>
              </w:rPr>
              <w:t>经理 15141388884</w:t>
            </w: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1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30ＫＷ</w:t>
            </w:r>
          </w:p>
        </w:tc>
        <w:tc>
          <w:tcPr>
            <w:tcW w:w="1384" w:type="pct"/>
            <w:gridSpan w:val="3"/>
            <w:tcBorders>
              <w:top w:val="single" w:color="auto"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自发电（柴油）</w:t>
            </w:r>
          </w:p>
        </w:tc>
        <w:tc>
          <w:tcPr>
            <w:tcW w:w="1771" w:type="pct"/>
            <w:gridSpan w:val="3"/>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w:t>
            </w:r>
          </w:p>
        </w:tc>
        <w:tc>
          <w:tcPr>
            <w:tcW w:w="1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２０ＫＷ</w:t>
            </w:r>
          </w:p>
        </w:tc>
        <w:tc>
          <w:tcPr>
            <w:tcW w:w="1384" w:type="pct"/>
            <w:gridSpan w:val="3"/>
            <w:tcBorders>
              <w:top w:val="single" w:color="auto"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自发电（柴油）</w:t>
            </w:r>
          </w:p>
        </w:tc>
        <w:tc>
          <w:tcPr>
            <w:tcW w:w="1771" w:type="pct"/>
            <w:gridSpan w:val="3"/>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1384" w:type="pct"/>
            <w:gridSpan w:val="2"/>
            <w:tcBorders>
              <w:top w:val="single" w:color="000000" w:sz="4" w:space="0"/>
              <w:left w:val="single" w:color="000000" w:sz="4" w:space="0"/>
              <w:bottom w:val="single" w:color="4F81BD" w:themeColor="accent1"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5ＫＷ</w:t>
            </w:r>
          </w:p>
        </w:tc>
        <w:tc>
          <w:tcPr>
            <w:tcW w:w="1384" w:type="pct"/>
            <w:gridSpan w:val="3"/>
            <w:tcBorders>
              <w:top w:val="single" w:color="auto" w:sz="4" w:space="0"/>
              <w:left w:val="single" w:color="000000" w:sz="4" w:space="0"/>
              <w:bottom w:val="single" w:color="auto"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自发电（汽油）</w:t>
            </w:r>
          </w:p>
        </w:tc>
        <w:tc>
          <w:tcPr>
            <w:tcW w:w="1771" w:type="pct"/>
            <w:gridSpan w:val="3"/>
            <w:vMerge w:val="continue"/>
            <w:tcBorders>
              <w:left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r>
        <w:tblPrEx>
          <w:tblCellMar>
            <w:top w:w="0" w:type="dxa"/>
            <w:left w:w="108" w:type="dxa"/>
            <w:bottom w:w="0" w:type="dxa"/>
            <w:right w:w="108" w:type="dxa"/>
          </w:tblCellMar>
        </w:tblPrEx>
        <w:trPr>
          <w:gridBefore w:val="1"/>
          <w:wBefore w:w="74" w:type="pct"/>
          <w:trHeight w:val="425" w:hRule="exact"/>
          <w:jc w:val="center"/>
        </w:trPr>
        <w:tc>
          <w:tcPr>
            <w:tcW w:w="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1384" w:type="pct"/>
            <w:gridSpan w:val="2"/>
            <w:tcBorders>
              <w:top w:val="single" w:color="000000"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3ＫＷ</w:t>
            </w:r>
          </w:p>
        </w:tc>
        <w:tc>
          <w:tcPr>
            <w:tcW w:w="1384" w:type="pct"/>
            <w:gridSpan w:val="3"/>
            <w:tcBorders>
              <w:top w:val="single" w:color="auto" w:sz="4" w:space="0"/>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自发电（汽油）</w:t>
            </w:r>
          </w:p>
        </w:tc>
        <w:tc>
          <w:tcPr>
            <w:tcW w:w="1771" w:type="pct"/>
            <w:gridSpan w:val="3"/>
            <w:vMerge w:val="continue"/>
            <w:tcBorders>
              <w:left w:val="single" w:color="000000" w:sz="4" w:space="0"/>
              <w:bottom w:val="single" w:color="000000" w:sz="4" w:space="0"/>
              <w:right w:val="single" w:color="000000" w:sz="4" w:space="0"/>
            </w:tcBorders>
            <w:noWrap/>
            <w:vAlign w:val="center"/>
          </w:tcPr>
          <w:p>
            <w:pPr>
              <w:spacing w:before="0" w:beforeLines="0" w:line="240" w:lineRule="exact"/>
              <w:ind w:firstLine="0" w:firstLineChars="0"/>
              <w:jc w:val="center"/>
              <w:rPr>
                <w:rFonts w:asciiTheme="minorEastAsia" w:hAnsiTheme="minorEastAsia" w:eastAsiaTheme="minorEastAsia"/>
                <w:sz w:val="21"/>
                <w:szCs w:val="21"/>
              </w:rPr>
            </w:pPr>
          </w:p>
        </w:tc>
      </w:tr>
    </w:tbl>
    <w:p>
      <w:pPr>
        <w:pStyle w:val="2"/>
        <w:spacing w:before="156"/>
        <w:ind w:firstLine="420"/>
        <w:rPr>
          <w:rFonts w:asciiTheme="minorEastAsia" w:hAnsiTheme="minorEastAsia" w:eastAsiaTheme="minorEastAsia"/>
          <w:sz w:val="21"/>
          <w:szCs w:val="21"/>
        </w:rPr>
      </w:pPr>
    </w:p>
    <w:p>
      <w:pPr>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4"/>
        <w:spacing w:before="156"/>
        <w:ind w:left="301" w:hanging="301"/>
        <w:rPr>
          <w:color w:val="000000" w:themeColor="text1"/>
          <w14:textFill>
            <w14:solidFill>
              <w14:schemeClr w14:val="tx1"/>
            </w14:solidFill>
          </w14:textFill>
        </w:rPr>
      </w:pPr>
      <w:bookmarkStart w:id="163" w:name="_Toc116111008"/>
      <w:r>
        <w:rPr>
          <w:rFonts w:hint="eastAsia"/>
          <w:color w:val="000000" w:themeColor="text1"/>
          <w14:textFill>
            <w14:solidFill>
              <w14:schemeClr w14:val="tx1"/>
            </w14:solidFill>
          </w14:textFill>
        </w:rPr>
        <w:t>附件6突发环境应急事件报告单</w:t>
      </w:r>
      <w:bookmarkEnd w:id="163"/>
    </w:p>
    <w:p>
      <w:pPr>
        <w:spacing w:before="0" w:beforeLines="0"/>
        <w:ind w:firstLine="480"/>
        <w:jc w:val="center"/>
      </w:pPr>
      <w:r>
        <w:rPr>
          <w:rFonts w:hint="eastAsia"/>
        </w:rPr>
        <w:t>突发环境应急事件初报单</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78"/>
        <w:gridCol w:w="1806"/>
        <w:gridCol w:w="1602"/>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restart"/>
            <w:vAlign w:val="center"/>
          </w:tcPr>
          <w:p>
            <w:pPr>
              <w:pStyle w:val="2"/>
              <w:spacing w:before="0" w:beforeLines="0" w:after="0" w:line="360" w:lineRule="exact"/>
              <w:ind w:firstLine="0" w:firstLineChars="0"/>
              <w:jc w:val="center"/>
            </w:pPr>
            <w:r>
              <w:rPr>
                <w:rFonts w:hint="eastAsia"/>
              </w:rPr>
              <w:t>发生</w:t>
            </w:r>
          </w:p>
          <w:p>
            <w:pPr>
              <w:pStyle w:val="2"/>
              <w:spacing w:before="0" w:beforeLines="0" w:after="0" w:line="360" w:lineRule="exact"/>
              <w:ind w:firstLine="0" w:firstLineChars="0"/>
              <w:jc w:val="center"/>
            </w:pPr>
            <w:r>
              <w:rPr>
                <w:rFonts w:hint="eastAsia"/>
              </w:rPr>
              <w:t>事故单位</w:t>
            </w:r>
          </w:p>
        </w:tc>
        <w:tc>
          <w:tcPr>
            <w:tcW w:w="1984" w:type="dxa"/>
            <w:gridSpan w:val="2"/>
            <w:vAlign w:val="center"/>
          </w:tcPr>
          <w:p>
            <w:pPr>
              <w:pStyle w:val="2"/>
              <w:spacing w:before="0" w:beforeLines="0" w:after="0" w:line="360" w:lineRule="exact"/>
              <w:ind w:firstLine="0" w:firstLineChars="0"/>
              <w:jc w:val="center"/>
            </w:pPr>
            <w:r>
              <w:rPr>
                <w:rFonts w:hint="eastAsia"/>
              </w:rPr>
              <w:t>名称</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联系人</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地址</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联系电话</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1526" w:type="dxa"/>
            <w:vMerge w:val="restart"/>
            <w:vAlign w:val="center"/>
          </w:tcPr>
          <w:p>
            <w:pPr>
              <w:pStyle w:val="2"/>
              <w:spacing w:before="0" w:beforeLines="0" w:after="0" w:line="360" w:lineRule="exact"/>
              <w:ind w:firstLine="0" w:firstLineChars="0"/>
              <w:jc w:val="center"/>
            </w:pPr>
            <w:r>
              <w:rPr>
                <w:rFonts w:hint="eastAsia"/>
              </w:rPr>
              <w:t>事件</w:t>
            </w:r>
          </w:p>
          <w:p>
            <w:pPr>
              <w:pStyle w:val="2"/>
              <w:spacing w:before="0" w:beforeLines="0" w:after="0" w:line="360" w:lineRule="exact"/>
              <w:ind w:firstLine="0" w:firstLineChars="0"/>
              <w:jc w:val="center"/>
            </w:pPr>
            <w:r>
              <w:rPr>
                <w:rFonts w:hint="eastAsia"/>
              </w:rPr>
              <w:t>简要</w:t>
            </w:r>
          </w:p>
          <w:p>
            <w:pPr>
              <w:pStyle w:val="2"/>
              <w:spacing w:before="0" w:beforeLines="0" w:after="0" w:line="360" w:lineRule="exact"/>
              <w:ind w:firstLine="0" w:firstLineChars="0"/>
              <w:jc w:val="center"/>
            </w:pPr>
            <w:r>
              <w:rPr>
                <w:rFonts w:hint="eastAsia"/>
              </w:rPr>
              <w:t>情况</w:t>
            </w:r>
          </w:p>
        </w:tc>
        <w:tc>
          <w:tcPr>
            <w:tcW w:w="1984" w:type="dxa"/>
            <w:gridSpan w:val="2"/>
            <w:vAlign w:val="center"/>
          </w:tcPr>
          <w:p>
            <w:pPr>
              <w:pStyle w:val="2"/>
              <w:spacing w:before="0" w:beforeLines="0" w:after="0" w:line="360" w:lineRule="exact"/>
              <w:ind w:firstLine="0" w:firstLineChars="0"/>
              <w:jc w:val="center"/>
            </w:pPr>
            <w:r>
              <w:rPr>
                <w:rFonts w:hint="eastAsia"/>
              </w:rPr>
              <w:t>事故类型</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环境风险物质</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数量</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发生时间及地点</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事故原因</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现场情况</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已采取的措施</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人员伤亡现状</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5" w:hRule="atLeast"/>
        </w:trPr>
        <w:tc>
          <w:tcPr>
            <w:tcW w:w="8522" w:type="dxa"/>
            <w:gridSpan w:val="6"/>
          </w:tcPr>
          <w:p>
            <w:pPr>
              <w:pStyle w:val="2"/>
              <w:spacing w:before="156"/>
              <w:ind w:firstLine="0" w:firstLineChars="0"/>
            </w:pPr>
            <w:r>
              <w:rPr>
                <w:rFonts w:hint="eastAsia"/>
              </w:rPr>
              <w:t>已知或预期的环境风险：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4" w:hRule="atLeast"/>
        </w:trPr>
        <w:tc>
          <w:tcPr>
            <w:tcW w:w="8522" w:type="dxa"/>
            <w:gridSpan w:val="6"/>
          </w:tcPr>
          <w:p>
            <w:pPr>
              <w:pStyle w:val="2"/>
              <w:spacing w:before="156"/>
              <w:ind w:firstLine="0" w:firstLineChars="0"/>
            </w:pPr>
            <w:r>
              <w:rPr>
                <w:rFonts w:hint="eastAsia"/>
              </w:rPr>
              <w:t>事故经过描述：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1" w:hRule="atLeast"/>
        </w:trPr>
        <w:tc>
          <w:tcPr>
            <w:tcW w:w="8522" w:type="dxa"/>
            <w:gridSpan w:val="6"/>
          </w:tcPr>
          <w:p>
            <w:pPr>
              <w:pStyle w:val="2"/>
              <w:spacing w:before="156"/>
              <w:ind w:firstLine="0" w:firstLineChars="0"/>
            </w:pPr>
            <w:r>
              <w:rPr>
                <w:rFonts w:hint="eastAsia"/>
              </w:rPr>
              <w:t>恢复期的初步判断：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trPr>
        <w:tc>
          <w:tcPr>
            <w:tcW w:w="1704" w:type="dxa"/>
            <w:gridSpan w:val="2"/>
          </w:tcPr>
          <w:p>
            <w:pPr>
              <w:pStyle w:val="2"/>
              <w:spacing w:before="0" w:beforeLines="0" w:after="0" w:line="320" w:lineRule="exact"/>
              <w:ind w:firstLine="0" w:firstLineChars="0"/>
            </w:pPr>
            <w:r>
              <w:rPr>
                <w:rFonts w:hint="eastAsia"/>
              </w:rPr>
              <w:t>报告人姓名</w:t>
            </w:r>
          </w:p>
        </w:tc>
        <w:tc>
          <w:tcPr>
            <w:tcW w:w="3408" w:type="dxa"/>
            <w:gridSpan w:val="2"/>
          </w:tcPr>
          <w:p>
            <w:pPr>
              <w:pStyle w:val="2"/>
              <w:spacing w:before="0" w:beforeLines="0" w:after="0" w:line="320" w:lineRule="exact"/>
              <w:ind w:firstLine="0" w:firstLineChars="0"/>
            </w:pPr>
          </w:p>
        </w:tc>
        <w:tc>
          <w:tcPr>
            <w:tcW w:w="1705" w:type="dxa"/>
          </w:tcPr>
          <w:p>
            <w:pPr>
              <w:pStyle w:val="2"/>
              <w:spacing w:before="0" w:beforeLines="0" w:after="0" w:line="320" w:lineRule="exact"/>
              <w:ind w:firstLine="0" w:firstLineChars="0"/>
            </w:pPr>
            <w:r>
              <w:rPr>
                <w:rFonts w:hint="eastAsia"/>
              </w:rPr>
              <w:t>联系电话</w:t>
            </w:r>
          </w:p>
        </w:tc>
        <w:tc>
          <w:tcPr>
            <w:tcW w:w="1705" w:type="dxa"/>
          </w:tcPr>
          <w:p>
            <w:pPr>
              <w:pStyle w:val="2"/>
              <w:spacing w:before="0" w:beforeLines="0" w:after="0" w:line="320" w:lineRule="exact"/>
              <w:ind w:firstLine="0" w:firstLineChars="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04" w:type="dxa"/>
            <w:gridSpan w:val="2"/>
          </w:tcPr>
          <w:p>
            <w:pPr>
              <w:pStyle w:val="2"/>
              <w:spacing w:before="0" w:beforeLines="0" w:after="0" w:line="320" w:lineRule="exact"/>
              <w:ind w:firstLine="0" w:firstLineChars="0"/>
            </w:pPr>
            <w:r>
              <w:rPr>
                <w:rFonts w:hint="eastAsia"/>
              </w:rPr>
              <w:t>单位及职务</w:t>
            </w:r>
          </w:p>
        </w:tc>
        <w:tc>
          <w:tcPr>
            <w:tcW w:w="3408" w:type="dxa"/>
            <w:gridSpan w:val="2"/>
          </w:tcPr>
          <w:p>
            <w:pPr>
              <w:pStyle w:val="2"/>
              <w:spacing w:before="0" w:beforeLines="0" w:after="0" w:line="320" w:lineRule="exact"/>
              <w:ind w:firstLine="0" w:firstLineChars="0"/>
            </w:pPr>
          </w:p>
        </w:tc>
        <w:tc>
          <w:tcPr>
            <w:tcW w:w="1705" w:type="dxa"/>
          </w:tcPr>
          <w:p>
            <w:pPr>
              <w:pStyle w:val="2"/>
              <w:spacing w:before="0" w:beforeLines="0" w:after="0" w:line="320" w:lineRule="exact"/>
              <w:ind w:firstLine="0" w:firstLineChars="0"/>
            </w:pPr>
            <w:r>
              <w:rPr>
                <w:rFonts w:hint="eastAsia"/>
              </w:rPr>
              <w:t>报告时间</w:t>
            </w:r>
          </w:p>
        </w:tc>
        <w:tc>
          <w:tcPr>
            <w:tcW w:w="1705" w:type="dxa"/>
          </w:tcPr>
          <w:p>
            <w:pPr>
              <w:pStyle w:val="2"/>
              <w:spacing w:before="0" w:beforeLines="0" w:after="0" w:line="320" w:lineRule="exact"/>
              <w:ind w:firstLine="0" w:firstLineChars="0"/>
            </w:pPr>
          </w:p>
        </w:tc>
      </w:tr>
    </w:tbl>
    <w:p>
      <w:pPr>
        <w:spacing w:before="0" w:beforeLines="0"/>
        <w:ind w:firstLine="480"/>
        <w:jc w:val="center"/>
      </w:pPr>
      <w:r>
        <w:rPr>
          <w:rFonts w:hint="eastAsia"/>
        </w:rPr>
        <w:t>突发环境应急事件续报单</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78"/>
        <w:gridCol w:w="1806"/>
        <w:gridCol w:w="1602"/>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restart"/>
            <w:vAlign w:val="center"/>
          </w:tcPr>
          <w:p>
            <w:pPr>
              <w:pStyle w:val="2"/>
              <w:spacing w:before="0" w:beforeLines="0" w:after="0" w:line="360" w:lineRule="exact"/>
              <w:ind w:firstLine="0" w:firstLineChars="0"/>
              <w:jc w:val="center"/>
            </w:pPr>
            <w:r>
              <w:rPr>
                <w:rFonts w:hint="eastAsia"/>
              </w:rPr>
              <w:t>发生</w:t>
            </w:r>
          </w:p>
          <w:p>
            <w:pPr>
              <w:pStyle w:val="2"/>
              <w:spacing w:before="0" w:beforeLines="0" w:after="0" w:line="360" w:lineRule="exact"/>
              <w:ind w:firstLine="0" w:firstLineChars="0"/>
              <w:jc w:val="center"/>
            </w:pPr>
            <w:r>
              <w:rPr>
                <w:rFonts w:hint="eastAsia"/>
              </w:rPr>
              <w:t>事故单位</w:t>
            </w:r>
          </w:p>
        </w:tc>
        <w:tc>
          <w:tcPr>
            <w:tcW w:w="1984" w:type="dxa"/>
            <w:gridSpan w:val="2"/>
            <w:vAlign w:val="center"/>
          </w:tcPr>
          <w:p>
            <w:pPr>
              <w:pStyle w:val="2"/>
              <w:spacing w:before="0" w:beforeLines="0" w:after="0" w:line="360" w:lineRule="exact"/>
              <w:ind w:firstLine="0" w:firstLineChars="0"/>
              <w:jc w:val="center"/>
            </w:pPr>
            <w:r>
              <w:rPr>
                <w:rFonts w:hint="eastAsia"/>
              </w:rPr>
              <w:t>名称</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联系人</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地址</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联系电话</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restart"/>
            <w:vAlign w:val="center"/>
          </w:tcPr>
          <w:p>
            <w:pPr>
              <w:pStyle w:val="2"/>
              <w:spacing w:before="0" w:beforeLines="0" w:after="0" w:line="360" w:lineRule="exact"/>
              <w:ind w:firstLine="0" w:firstLineChars="0"/>
              <w:jc w:val="center"/>
            </w:pPr>
            <w:r>
              <w:rPr>
                <w:rFonts w:hint="eastAsia"/>
              </w:rPr>
              <w:t>事件</w:t>
            </w:r>
          </w:p>
          <w:p>
            <w:pPr>
              <w:pStyle w:val="2"/>
              <w:spacing w:before="0" w:beforeLines="0" w:after="0" w:line="360" w:lineRule="exact"/>
              <w:ind w:firstLine="0" w:firstLineChars="0"/>
              <w:jc w:val="center"/>
            </w:pPr>
            <w:r>
              <w:rPr>
                <w:rFonts w:hint="eastAsia"/>
              </w:rPr>
              <w:t>简要</w:t>
            </w:r>
          </w:p>
          <w:p>
            <w:pPr>
              <w:pStyle w:val="2"/>
              <w:spacing w:before="0" w:beforeLines="0" w:after="0" w:line="360" w:lineRule="exact"/>
              <w:ind w:firstLine="0" w:firstLineChars="0"/>
              <w:jc w:val="center"/>
            </w:pPr>
            <w:r>
              <w:rPr>
                <w:rFonts w:hint="eastAsia"/>
              </w:rPr>
              <w:t>情况</w:t>
            </w:r>
          </w:p>
        </w:tc>
        <w:tc>
          <w:tcPr>
            <w:tcW w:w="1984" w:type="dxa"/>
            <w:gridSpan w:val="2"/>
            <w:vAlign w:val="center"/>
          </w:tcPr>
          <w:p>
            <w:pPr>
              <w:pStyle w:val="2"/>
              <w:spacing w:before="0" w:beforeLines="0" w:after="0" w:line="360" w:lineRule="exact"/>
              <w:ind w:firstLine="0" w:firstLineChars="0"/>
              <w:jc w:val="center"/>
            </w:pPr>
            <w:r>
              <w:rPr>
                <w:rFonts w:hint="eastAsia"/>
              </w:rPr>
              <w:t>事故类型</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环境风险物质</w:t>
            </w:r>
          </w:p>
        </w:tc>
        <w:tc>
          <w:tcPr>
            <w:tcW w:w="1602" w:type="dxa"/>
            <w:vAlign w:val="center"/>
          </w:tcPr>
          <w:p>
            <w:pPr>
              <w:pStyle w:val="2"/>
              <w:spacing w:before="0" w:beforeLines="0" w:after="0" w:line="360" w:lineRule="exact"/>
              <w:ind w:firstLine="0" w:firstLineChars="0"/>
              <w:jc w:val="center"/>
            </w:pPr>
          </w:p>
        </w:tc>
        <w:tc>
          <w:tcPr>
            <w:tcW w:w="1705" w:type="dxa"/>
            <w:vAlign w:val="center"/>
          </w:tcPr>
          <w:p>
            <w:pPr>
              <w:pStyle w:val="2"/>
              <w:spacing w:before="0" w:beforeLines="0" w:after="0" w:line="360" w:lineRule="exact"/>
              <w:ind w:firstLine="0" w:firstLineChars="0"/>
              <w:jc w:val="center"/>
            </w:pPr>
            <w:r>
              <w:rPr>
                <w:rFonts w:hint="eastAsia"/>
              </w:rPr>
              <w:t>数量</w:t>
            </w:r>
          </w:p>
        </w:tc>
        <w:tc>
          <w:tcPr>
            <w:tcW w:w="1705" w:type="dxa"/>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发生时间及地点</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现场情况</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已采取的措施</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26" w:type="dxa"/>
            <w:vMerge w:val="continue"/>
            <w:vAlign w:val="center"/>
          </w:tcPr>
          <w:p>
            <w:pPr>
              <w:pStyle w:val="2"/>
              <w:spacing w:before="0" w:beforeLines="0" w:after="0" w:line="360" w:lineRule="exact"/>
              <w:ind w:firstLine="0" w:firstLineChars="0"/>
              <w:jc w:val="center"/>
            </w:pPr>
          </w:p>
        </w:tc>
        <w:tc>
          <w:tcPr>
            <w:tcW w:w="1984" w:type="dxa"/>
            <w:gridSpan w:val="2"/>
            <w:vAlign w:val="center"/>
          </w:tcPr>
          <w:p>
            <w:pPr>
              <w:pStyle w:val="2"/>
              <w:spacing w:before="0" w:beforeLines="0" w:after="0" w:line="360" w:lineRule="exact"/>
              <w:ind w:firstLine="0" w:firstLineChars="0"/>
              <w:jc w:val="center"/>
            </w:pPr>
            <w:r>
              <w:rPr>
                <w:rFonts w:hint="eastAsia"/>
              </w:rPr>
              <w:t>人员伤亡现状</w:t>
            </w:r>
          </w:p>
        </w:tc>
        <w:tc>
          <w:tcPr>
            <w:tcW w:w="5012" w:type="dxa"/>
            <w:gridSpan w:val="3"/>
            <w:vAlign w:val="center"/>
          </w:tcPr>
          <w:p>
            <w:pPr>
              <w:pStyle w:val="2"/>
              <w:spacing w:before="0" w:beforeLines="0" w:after="0" w:line="360" w:lineRule="exact"/>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5" w:hRule="atLeast"/>
        </w:trPr>
        <w:tc>
          <w:tcPr>
            <w:tcW w:w="8522" w:type="dxa"/>
            <w:gridSpan w:val="6"/>
          </w:tcPr>
          <w:p>
            <w:pPr>
              <w:pStyle w:val="2"/>
              <w:spacing w:before="156"/>
              <w:ind w:firstLine="0" w:firstLineChars="0"/>
            </w:pPr>
            <w:r>
              <w:rPr>
                <w:rFonts w:hint="eastAsia"/>
              </w:rPr>
              <w:t>已知或预期的环境风险：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9" w:hRule="atLeast"/>
        </w:trPr>
        <w:tc>
          <w:tcPr>
            <w:tcW w:w="8522" w:type="dxa"/>
            <w:gridSpan w:val="6"/>
          </w:tcPr>
          <w:p>
            <w:pPr>
              <w:pStyle w:val="2"/>
              <w:spacing w:before="156"/>
              <w:ind w:firstLine="0" w:firstLineChars="0"/>
            </w:pPr>
            <w:r>
              <w:rPr>
                <w:rFonts w:hint="eastAsia"/>
              </w:rPr>
              <w:t>人体健康风险：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1" w:hRule="atLeast"/>
        </w:trPr>
        <w:tc>
          <w:tcPr>
            <w:tcW w:w="8522" w:type="dxa"/>
            <w:gridSpan w:val="6"/>
          </w:tcPr>
          <w:p>
            <w:pPr>
              <w:pStyle w:val="2"/>
              <w:spacing w:before="156"/>
              <w:ind w:firstLine="0" w:firstLineChars="0"/>
            </w:pPr>
            <w:r>
              <w:rPr>
                <w:rFonts w:hint="eastAsia"/>
              </w:rPr>
              <w:t>医疗建议：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04" w:type="dxa"/>
            <w:gridSpan w:val="2"/>
          </w:tcPr>
          <w:p>
            <w:pPr>
              <w:pStyle w:val="2"/>
              <w:spacing w:before="0" w:beforeLines="0" w:after="0" w:line="320" w:lineRule="exact"/>
              <w:ind w:firstLine="0" w:firstLineChars="0"/>
            </w:pPr>
            <w:r>
              <w:rPr>
                <w:rFonts w:hint="eastAsia"/>
              </w:rPr>
              <w:t>报告人姓名</w:t>
            </w:r>
          </w:p>
        </w:tc>
        <w:tc>
          <w:tcPr>
            <w:tcW w:w="3408" w:type="dxa"/>
            <w:gridSpan w:val="2"/>
          </w:tcPr>
          <w:p>
            <w:pPr>
              <w:pStyle w:val="2"/>
              <w:spacing w:before="0" w:beforeLines="0" w:after="0" w:line="320" w:lineRule="exact"/>
              <w:ind w:firstLine="0" w:firstLineChars="0"/>
            </w:pPr>
          </w:p>
        </w:tc>
        <w:tc>
          <w:tcPr>
            <w:tcW w:w="1705" w:type="dxa"/>
          </w:tcPr>
          <w:p>
            <w:pPr>
              <w:pStyle w:val="2"/>
              <w:spacing w:before="0" w:beforeLines="0" w:after="0" w:line="320" w:lineRule="exact"/>
              <w:ind w:firstLine="0" w:firstLineChars="0"/>
            </w:pPr>
            <w:r>
              <w:rPr>
                <w:rFonts w:hint="eastAsia"/>
              </w:rPr>
              <w:t>联系电话</w:t>
            </w:r>
          </w:p>
        </w:tc>
        <w:tc>
          <w:tcPr>
            <w:tcW w:w="1705" w:type="dxa"/>
          </w:tcPr>
          <w:p>
            <w:pPr>
              <w:pStyle w:val="2"/>
              <w:spacing w:before="0" w:beforeLines="0" w:after="0" w:line="320" w:lineRule="exact"/>
              <w:ind w:firstLine="0" w:firstLineChars="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04" w:type="dxa"/>
            <w:gridSpan w:val="2"/>
          </w:tcPr>
          <w:p>
            <w:pPr>
              <w:pStyle w:val="2"/>
              <w:spacing w:before="0" w:beforeLines="0" w:after="0" w:line="320" w:lineRule="exact"/>
              <w:ind w:firstLine="0" w:firstLineChars="0"/>
            </w:pPr>
            <w:r>
              <w:rPr>
                <w:rFonts w:hint="eastAsia"/>
              </w:rPr>
              <w:t>单位及职务</w:t>
            </w:r>
          </w:p>
        </w:tc>
        <w:tc>
          <w:tcPr>
            <w:tcW w:w="3408" w:type="dxa"/>
            <w:gridSpan w:val="2"/>
          </w:tcPr>
          <w:p>
            <w:pPr>
              <w:pStyle w:val="2"/>
              <w:spacing w:before="0" w:beforeLines="0" w:after="0" w:line="320" w:lineRule="exact"/>
              <w:ind w:firstLine="0" w:firstLineChars="0"/>
            </w:pPr>
          </w:p>
        </w:tc>
        <w:tc>
          <w:tcPr>
            <w:tcW w:w="1705" w:type="dxa"/>
          </w:tcPr>
          <w:p>
            <w:pPr>
              <w:pStyle w:val="2"/>
              <w:spacing w:before="0" w:beforeLines="0" w:after="0" w:line="320" w:lineRule="exact"/>
              <w:ind w:firstLine="0" w:firstLineChars="0"/>
            </w:pPr>
            <w:r>
              <w:rPr>
                <w:rFonts w:hint="eastAsia"/>
              </w:rPr>
              <w:t>报告时间</w:t>
            </w:r>
          </w:p>
        </w:tc>
        <w:tc>
          <w:tcPr>
            <w:tcW w:w="1705" w:type="dxa"/>
          </w:tcPr>
          <w:p>
            <w:pPr>
              <w:pStyle w:val="2"/>
              <w:spacing w:before="0" w:beforeLines="0" w:after="0" w:line="320" w:lineRule="exact"/>
              <w:ind w:firstLine="0" w:firstLineChars="0"/>
            </w:pPr>
          </w:p>
        </w:tc>
      </w:tr>
    </w:tbl>
    <w:p>
      <w:pPr>
        <w:spacing w:before="0" w:beforeLines="0"/>
        <w:ind w:firstLine="480"/>
        <w:jc w:val="center"/>
      </w:pPr>
    </w:p>
    <w:p>
      <w:pPr>
        <w:spacing w:before="0" w:beforeLines="0"/>
        <w:ind w:firstLine="480"/>
        <w:jc w:val="center"/>
      </w:pPr>
      <w:r>
        <w:rPr>
          <w:rFonts w:hint="eastAsia"/>
        </w:rPr>
        <w:t>重大突发环境应急事件报告单</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850"/>
        <w:gridCol w:w="425"/>
        <w:gridCol w:w="863"/>
        <w:gridCol w:w="271"/>
        <w:gridCol w:w="1276"/>
        <w:gridCol w:w="142"/>
        <w:gridCol w:w="1322"/>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668"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报告单位</w:t>
            </w:r>
          </w:p>
        </w:tc>
        <w:tc>
          <w:tcPr>
            <w:tcW w:w="3685" w:type="dxa"/>
            <w:gridSpan w:val="5"/>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46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报告编号</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668"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执行时间</w:t>
            </w:r>
          </w:p>
        </w:tc>
        <w:tc>
          <w:tcPr>
            <w:tcW w:w="3685" w:type="dxa"/>
            <w:gridSpan w:val="5"/>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46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收到时间</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668"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报告人姓名</w:t>
            </w:r>
          </w:p>
        </w:tc>
        <w:tc>
          <w:tcPr>
            <w:tcW w:w="1275"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13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电话</w:t>
            </w:r>
          </w:p>
        </w:tc>
        <w:tc>
          <w:tcPr>
            <w:tcW w:w="1276"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46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报告地点</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668" w:type="dxa"/>
            <w:vMerge w:val="restart"/>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信息联系人</w:t>
            </w:r>
          </w:p>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姓名</w:t>
            </w:r>
          </w:p>
        </w:tc>
        <w:tc>
          <w:tcPr>
            <w:tcW w:w="1275" w:type="dxa"/>
            <w:gridSpan w:val="2"/>
            <w:vMerge w:val="restart"/>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13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电话</w:t>
            </w:r>
          </w:p>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276"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46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移动电话</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668" w:type="dxa"/>
            <w:vMerge w:val="continue"/>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275" w:type="dxa"/>
            <w:gridSpan w:val="2"/>
            <w:vMerge w:val="continue"/>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13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传真</w:t>
            </w:r>
          </w:p>
        </w:tc>
        <w:tc>
          <w:tcPr>
            <w:tcW w:w="1276"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464"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电子信箱</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8522" w:type="dxa"/>
            <w:gridSpan w:val="9"/>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事件简要情况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事件发生时间</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事件发生地点</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事件发生单位</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事件类型</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事件经过简要描述</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目前人员伤亡情况</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目前环境污染情况</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目前造成周边影响</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现场负责人姓名</w:t>
            </w:r>
          </w:p>
        </w:tc>
        <w:tc>
          <w:tcPr>
            <w:tcW w:w="2977" w:type="dxa"/>
            <w:gridSpan w:val="5"/>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322"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联系电话</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Merge w:val="restart"/>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企业应急</w:t>
            </w:r>
          </w:p>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人员情况</w:t>
            </w:r>
          </w:p>
        </w:tc>
        <w:tc>
          <w:tcPr>
            <w:tcW w:w="128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应急职务</w:t>
            </w:r>
          </w:p>
        </w:tc>
        <w:tc>
          <w:tcPr>
            <w:tcW w:w="1689" w:type="dxa"/>
            <w:gridSpan w:val="3"/>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姓名</w:t>
            </w:r>
          </w:p>
        </w:tc>
        <w:tc>
          <w:tcPr>
            <w:tcW w:w="1322"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联系电话</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移动电话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Merge w:val="continue"/>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28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689" w:type="dxa"/>
            <w:gridSpan w:val="3"/>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322"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18" w:type="dxa"/>
            <w:gridSpan w:val="2"/>
            <w:vMerge w:val="continue"/>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28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689" w:type="dxa"/>
            <w:gridSpan w:val="3"/>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322"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事件初步</w:t>
            </w:r>
          </w:p>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原因描述</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已经实施或正在采取的控制措施</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事件潜在后果以及可能对周边造成的影响</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现场气象条件等参数</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信息报关情况</w:t>
            </w:r>
          </w:p>
        </w:tc>
        <w:tc>
          <w:tcPr>
            <w:tcW w:w="6004" w:type="dxa"/>
            <w:gridSpan w:val="7"/>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exact"/>
        </w:trPr>
        <w:tc>
          <w:tcPr>
            <w:tcW w:w="2518" w:type="dxa"/>
            <w:gridSpan w:val="2"/>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此报告信息接收人</w:t>
            </w:r>
          </w:p>
        </w:tc>
        <w:tc>
          <w:tcPr>
            <w:tcW w:w="2977" w:type="dxa"/>
            <w:gridSpan w:val="5"/>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c>
          <w:tcPr>
            <w:tcW w:w="1322"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接收时间</w:t>
            </w:r>
          </w:p>
        </w:tc>
        <w:tc>
          <w:tcPr>
            <w:tcW w:w="1705" w:type="dxa"/>
            <w:vAlign w:val="center"/>
          </w:tcPr>
          <w:p>
            <w:pPr>
              <w:pStyle w:val="2"/>
              <w:spacing w:before="0" w:beforeLines="0" w:after="0" w:line="320" w:lineRule="exact"/>
              <w:ind w:firstLine="0" w:firstLineChars="0"/>
              <w:jc w:val="center"/>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8522" w:type="dxa"/>
            <w:gridSpan w:val="9"/>
            <w:vAlign w:val="center"/>
          </w:tcPr>
          <w:p>
            <w:pPr>
              <w:pStyle w:val="2"/>
              <w:spacing w:before="0" w:beforeLines="0" w:after="0" w:line="320" w:lineRule="exact"/>
              <w:ind w:firstLine="210" w:firstLineChars="100"/>
              <w:rPr>
                <w:rFonts w:asciiTheme="minorEastAsia" w:hAnsiTheme="minorEastAsia" w:eastAsiaTheme="minorEastAsia"/>
                <w:sz w:val="21"/>
                <w:szCs w:val="21"/>
              </w:rPr>
            </w:pPr>
            <w:r>
              <w:rPr>
                <w:rFonts w:hint="eastAsia" w:asciiTheme="minorEastAsia" w:hAnsiTheme="minorEastAsia" w:eastAsiaTheme="minorEastAsia"/>
                <w:sz w:val="21"/>
                <w:szCs w:val="21"/>
              </w:rPr>
              <w:t>备注：</w:t>
            </w:r>
          </w:p>
        </w:tc>
      </w:tr>
    </w:tbl>
    <w:p>
      <w:pPr>
        <w:pStyle w:val="4"/>
        <w:spacing w:before="156"/>
        <w:ind w:left="301" w:hanging="301"/>
        <w:rPr>
          <w:color w:val="000000" w:themeColor="text1"/>
          <w14:textFill>
            <w14:solidFill>
              <w14:schemeClr w14:val="tx1"/>
            </w14:solidFill>
          </w14:textFill>
        </w:rPr>
        <w:sectPr>
          <w:headerReference r:id="rId12" w:type="default"/>
          <w:footerReference r:id="rId13" w:type="default"/>
          <w:pgSz w:w="11906" w:h="16838"/>
          <w:pgMar w:top="1701" w:right="1797" w:bottom="1985" w:left="1797" w:header="851" w:footer="992" w:gutter="0"/>
          <w:cols w:space="425" w:num="1"/>
          <w:docGrid w:type="lines" w:linePitch="312" w:charSpace="0"/>
        </w:sectPr>
      </w:pPr>
      <w:bookmarkStart w:id="164" w:name="_Toc90840458"/>
    </w:p>
    <w:p>
      <w:pPr>
        <w:pStyle w:val="4"/>
        <w:spacing w:before="0"/>
        <w:ind w:left="301" w:hanging="301"/>
        <w:rPr>
          <w:color w:val="000000" w:themeColor="text1"/>
          <w14:textFill>
            <w14:solidFill>
              <w14:schemeClr w14:val="tx1"/>
            </w14:solidFill>
          </w14:textFill>
        </w:rPr>
      </w:pPr>
      <w:bookmarkStart w:id="165" w:name="_Toc116111009"/>
      <w:r>
        <w:rPr>
          <w:rFonts w:hint="eastAsia"/>
          <w:color w:val="000000" w:themeColor="text1"/>
          <w14:textFill>
            <w14:solidFill>
              <w14:schemeClr w14:val="tx1"/>
            </w14:solidFill>
          </w14:textFill>
        </w:rPr>
        <w:t>附件 7 抚顺高新技术产业开发区应急物资库地理位置</w:t>
      </w:r>
      <w:bookmarkEnd w:id="165"/>
    </w:p>
    <w:p>
      <w:pPr>
        <w:spacing w:before="156"/>
        <w:ind w:left="480" w:firstLine="0" w:firstLineChars="0"/>
      </w:pPr>
      <w:r>
        <w:rPr>
          <w:b/>
          <w:sz w:val="28"/>
        </w:rPr>
        <mc:AlternateContent>
          <mc:Choice Requires="wpg">
            <w:drawing>
              <wp:anchor distT="0" distB="0" distL="114300" distR="114300" simplePos="0" relativeHeight="251678720" behindDoc="0" locked="0" layoutInCell="1" allowOverlap="1">
                <wp:simplePos x="0" y="0"/>
                <wp:positionH relativeFrom="column">
                  <wp:posOffset>-231775</wp:posOffset>
                </wp:positionH>
                <wp:positionV relativeFrom="paragraph">
                  <wp:posOffset>222885</wp:posOffset>
                </wp:positionV>
                <wp:extent cx="8877300" cy="4629150"/>
                <wp:effectExtent l="19050" t="19050" r="19050" b="19050"/>
                <wp:wrapNone/>
                <wp:docPr id="70" name="组合 70"/>
                <wp:cNvGraphicFramePr/>
                <a:graphic xmlns:a="http://schemas.openxmlformats.org/drawingml/2006/main">
                  <a:graphicData uri="http://schemas.microsoft.com/office/word/2010/wordprocessingGroup">
                    <wpg:wgp>
                      <wpg:cNvGrpSpPr/>
                      <wpg:grpSpPr>
                        <a:xfrm>
                          <a:off x="0" y="0"/>
                          <a:ext cx="8877300" cy="4629150"/>
                          <a:chOff x="0" y="0"/>
                          <a:chExt cx="8877300" cy="4629150"/>
                        </a:xfrm>
                      </wpg:grpSpPr>
                      <pic:pic xmlns:pic="http://schemas.openxmlformats.org/drawingml/2006/picture">
                        <pic:nvPicPr>
                          <pic:cNvPr id="62" name="图片 62" descr="79ee7a5f8d4147236f54c1b99f9c1cb"/>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8877300" cy="4629150"/>
                          </a:xfrm>
                          <a:prstGeom prst="rect">
                            <a:avLst/>
                          </a:prstGeom>
                          <a:noFill/>
                          <a:ln>
                            <a:solidFill>
                              <a:srgbClr val="C00000"/>
                            </a:solidFill>
                          </a:ln>
                        </pic:spPr>
                      </pic:pic>
                      <wps:wsp>
                        <wps:cNvPr id="63" name="文本框 63"/>
                        <wps:cNvSpPr txBox="1"/>
                        <wps:spPr>
                          <a:xfrm>
                            <a:off x="428626" y="2600325"/>
                            <a:ext cx="1371600" cy="390525"/>
                          </a:xfrm>
                          <a:prstGeom prst="rect">
                            <a:avLst/>
                          </a:prstGeom>
                          <a:solidFill>
                            <a:srgbClr val="EAEAEA">
                              <a:alpha val="41176"/>
                            </a:srgbClr>
                          </a:solidFill>
                          <a:ln w="6350">
                            <a:noFill/>
                          </a:ln>
                        </wps:spPr>
                        <wps:txbx>
                          <w:txbxContent>
                            <w:p>
                              <w:pPr>
                                <w:spacing w:before="0" w:beforeLines="0" w:line="240" w:lineRule="exact"/>
                                <w:ind w:firstLine="0" w:firstLineChars="0"/>
                                <w:rPr>
                                  <w:rFonts w:ascii="微软雅黑" w:hAnsi="微软雅黑" w:eastAsia="微软雅黑"/>
                                  <w:b/>
                                  <w:color w:val="FF0000"/>
                                </w:rPr>
                              </w:pPr>
                              <w:r>
                                <w:rPr>
                                  <w:rFonts w:hint="eastAsia" w:ascii="微软雅黑" w:hAnsi="微软雅黑" w:eastAsia="微软雅黑"/>
                                  <w:b/>
                                  <w:color w:val="FF0000"/>
                                </w:rPr>
                                <w:t>东</w:t>
                              </w:r>
                              <w:r>
                                <w:rPr>
                                  <w:rFonts w:ascii="微软雅黑" w:hAnsi="微软雅黑" w:eastAsia="微软雅黑"/>
                                  <w:b/>
                                  <w:color w:val="FF0000"/>
                                </w:rPr>
                                <w:t>泽污水</w:t>
                              </w:r>
                              <w:r>
                                <w:rPr>
                                  <w:rFonts w:hint="eastAsia" w:ascii="微软雅黑" w:hAnsi="微软雅黑" w:eastAsia="微软雅黑"/>
                                  <w:b/>
                                  <w:color w:val="FF0000"/>
                                </w:rPr>
                                <w:t>处理</w:t>
                              </w:r>
                              <w:r>
                                <w:rPr>
                                  <w:rFonts w:ascii="微软雅黑" w:hAnsi="微软雅黑" w:eastAsia="微软雅黑"/>
                                  <w:b/>
                                  <w:color w:val="FF0000"/>
                                </w:rPr>
                                <w:t>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流程图: 磁盘 65"/>
                        <wps:cNvSpPr/>
                        <wps:spPr>
                          <a:xfrm>
                            <a:off x="4343400" y="1714500"/>
                            <a:ext cx="114300" cy="104775"/>
                          </a:xfrm>
                          <a:prstGeom prst="flowChartMagneticDisk">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 name="流程图: 磁盘 66"/>
                        <wps:cNvSpPr/>
                        <wps:spPr>
                          <a:xfrm>
                            <a:off x="5019675" y="2362200"/>
                            <a:ext cx="114300" cy="104775"/>
                          </a:xfrm>
                          <a:prstGeom prst="flowChartMagneticDisk">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7" name="直接箭头连接符 67"/>
                        <wps:cNvCnPr/>
                        <wps:spPr>
                          <a:xfrm flipH="1">
                            <a:off x="4495800" y="1495425"/>
                            <a:ext cx="990600" cy="285750"/>
                          </a:xfrm>
                          <a:prstGeom prst="straightConnector1">
                            <a:avLst/>
                          </a:prstGeom>
                          <a:ln w="15875">
                            <a:solidFill>
                              <a:srgbClr val="FF33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 name="直接箭头连接符 68"/>
                        <wps:cNvCnPr/>
                        <wps:spPr>
                          <a:xfrm flipH="1">
                            <a:off x="5162550" y="1590675"/>
                            <a:ext cx="378460" cy="771525"/>
                          </a:xfrm>
                          <a:prstGeom prst="straightConnector1">
                            <a:avLst/>
                          </a:prstGeom>
                          <a:noFill/>
                          <a:ln w="15875" cap="flat" cmpd="sng" algn="ctr">
                            <a:solidFill>
                              <a:srgbClr val="FF3300"/>
                            </a:solidFill>
                            <a:prstDash val="solid"/>
                            <a:miter lim="800000"/>
                            <a:tailEnd type="triangle"/>
                          </a:ln>
                          <a:effectLst/>
                        </wps:spPr>
                        <wps:bodyPr/>
                      </wps:wsp>
                      <wps:wsp>
                        <wps:cNvPr id="69" name="文本框 69"/>
                        <wps:cNvSpPr txBox="1"/>
                        <wps:spPr>
                          <a:xfrm>
                            <a:off x="5543550" y="1247775"/>
                            <a:ext cx="1457325" cy="390525"/>
                          </a:xfrm>
                          <a:prstGeom prst="rect">
                            <a:avLst/>
                          </a:prstGeom>
                          <a:solidFill>
                            <a:srgbClr val="EAEAEA">
                              <a:alpha val="41176"/>
                            </a:srgbClr>
                          </a:solidFill>
                          <a:ln w="6350">
                            <a:noFill/>
                          </a:ln>
                        </wps:spPr>
                        <wps:txbx>
                          <w:txbxContent>
                            <w:p>
                              <w:pPr>
                                <w:spacing w:before="0" w:beforeLines="0" w:line="240" w:lineRule="exact"/>
                                <w:ind w:firstLine="0" w:firstLineChars="0"/>
                                <w:rPr>
                                  <w:rFonts w:ascii="微软雅黑" w:hAnsi="微软雅黑" w:eastAsia="微软雅黑"/>
                                  <w:b/>
                                  <w:color w:val="FF0000"/>
                                  <w:sz w:val="26"/>
                                  <w:szCs w:val="26"/>
                                </w:rPr>
                              </w:pPr>
                              <w:r>
                                <w:rPr>
                                  <w:rFonts w:hint="eastAsia" w:ascii="微软雅黑" w:hAnsi="微软雅黑" w:eastAsia="微软雅黑"/>
                                  <w:b/>
                                  <w:color w:val="FF0000"/>
                                  <w:sz w:val="26"/>
                                  <w:szCs w:val="26"/>
                                </w:rPr>
                                <w:t>园</w:t>
                              </w:r>
                              <w:r>
                                <w:rPr>
                                  <w:rFonts w:ascii="微软雅黑" w:hAnsi="微软雅黑" w:eastAsia="微软雅黑"/>
                                  <w:b/>
                                  <w:color w:val="FF0000"/>
                                  <w:sz w:val="26"/>
                                  <w:szCs w:val="26"/>
                                </w:rPr>
                                <w:t>区公共事故池</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8.25pt;margin-top:17.55pt;height:364.5pt;width:699pt;z-index:251678720;mso-width-relative:page;mso-height-relative:page;" coordsize="8877300,4629150" o:gfxdata="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">
                <o:lock v:ext="edit" aspectratio="f"/>
                <v:shape id="_x0000_s1026" o:spid="_x0000_s1026" o:spt="75" alt="79ee7a5f8d4147236f54c1b99f9c1cb" type="#_x0000_t75" style="position:absolute;left:0;top:0;height:4629150;width:8877300;" filled="f" o:preferrelative="t" stroked="t" coordsize="21600,21600" o:gfxdata="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FxxD&#10;wAAAANsAAAAPAAAAAAAAAAEAIAAAACIAAABkcnMvZG93bnJldi54bWxQSwECFAAUAAAACACHTuJA&#10;My8FnjsAAAA5AAAAEAAAAAAAAAABACAAAAAPAQAAZHJzL3NoYXBleG1sLnhtbFBLBQYAAAAABgAG&#10;AFsBAAC5AwAAAAA=&#10;">
                  <v:fill on="f" focussize="0,0"/>
                  <v:stroke color="#C00000" joinstyle="round"/>
                  <v:imagedata r:id="rId20" o:title=""/>
                  <o:lock v:ext="edit" aspectratio="t"/>
                </v:shape>
                <v:shape id="_x0000_s1026" o:spid="_x0000_s1026" o:spt="202" type="#_x0000_t202" style="position:absolute;left:428626;top:2600325;height:390525;width:1371600;" fillcolor="#EAEAEA" filled="t" stroked="f" coordsize="21600,21600" o:gfxdata="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5mbAG8AAAA&#10;2wAAAA8AAAAAAAAAAQAgAAAAIgAAAGRycy9kb3ducmV2LnhtbFBLAQIUABQAAAAIAIdO4kAzLwWe&#10;OwAAADkAAAAQAAAAAAAAAAEAIAAAAAsBAABkcnMvc2hhcGV4bWwueG1sUEsFBgAAAAAGAAYAWwEA&#10;ALUDAAAAAA==&#10;">
                  <v:fill on="t" opacity="26985f" focussize="0,0"/>
                  <v:stroke on="f" weight="0.5pt"/>
                  <v:imagedata o:title=""/>
                  <o:lock v:ext="edit" aspectratio="f"/>
                  <v:textbox>
                    <w:txbxContent>
                      <w:p>
                        <w:pPr>
                          <w:spacing w:before="0" w:beforeLines="0" w:line="240" w:lineRule="exact"/>
                          <w:ind w:firstLine="0" w:firstLineChars="0"/>
                          <w:rPr>
                            <w:rFonts w:ascii="微软雅黑" w:hAnsi="微软雅黑" w:eastAsia="微软雅黑"/>
                            <w:b/>
                            <w:color w:val="FF0000"/>
                          </w:rPr>
                        </w:pPr>
                        <w:r>
                          <w:rPr>
                            <w:rFonts w:hint="eastAsia" w:ascii="微软雅黑" w:hAnsi="微软雅黑" w:eastAsia="微软雅黑"/>
                            <w:b/>
                            <w:color w:val="FF0000"/>
                          </w:rPr>
                          <w:t>东</w:t>
                        </w:r>
                        <w:r>
                          <w:rPr>
                            <w:rFonts w:ascii="微软雅黑" w:hAnsi="微软雅黑" w:eastAsia="微软雅黑"/>
                            <w:b/>
                            <w:color w:val="FF0000"/>
                          </w:rPr>
                          <w:t>泽污水</w:t>
                        </w:r>
                        <w:r>
                          <w:rPr>
                            <w:rFonts w:hint="eastAsia" w:ascii="微软雅黑" w:hAnsi="微软雅黑" w:eastAsia="微软雅黑"/>
                            <w:b/>
                            <w:color w:val="FF0000"/>
                          </w:rPr>
                          <w:t>处理</w:t>
                        </w:r>
                        <w:r>
                          <w:rPr>
                            <w:rFonts w:ascii="微软雅黑" w:hAnsi="微软雅黑" w:eastAsia="微软雅黑"/>
                            <w:b/>
                            <w:color w:val="FF0000"/>
                          </w:rPr>
                          <w:t>厂</w:t>
                        </w:r>
                      </w:p>
                    </w:txbxContent>
                  </v:textbox>
                </v:shape>
                <v:shape id="_x0000_s1026" o:spid="_x0000_s1026" o:spt="132" type="#_x0000_t132" style="position:absolute;left:4343400;top:1714500;height:104775;width:114300;v-text-anchor:middle;" fillcolor="#C00000" filled="t" stroked="t" coordsize="21600,21600" o:gfxdata="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Yd/28AAAA&#10;2wAAAA8AAAAAAAAAAQAgAAAAIgAAAGRycy9kb3ducmV2LnhtbFBLAQIUABQAAAAIAIdO4kAzLwWe&#10;OwAAADkAAAAQAAAAAAAAAAEAIAAAAAsBAABkcnMvc2hhcGV4bWwueG1sUEsFBgAAAAAGAAYAWwEA&#10;ALUDAAAAAA==&#10;">
                  <v:fill on="t" focussize="0,0"/>
                  <v:stroke weight="2pt" color="#C00000 [3204]" joinstyle="round"/>
                  <v:imagedata o:title=""/>
                  <o:lock v:ext="edit" aspectratio="f"/>
                </v:shape>
                <v:shape id="_x0000_s1026" o:spid="_x0000_s1026" o:spt="132" type="#_x0000_t132" style="position:absolute;left:5019675;top:2362200;height:104775;width:114300;v-text-anchor:middle;" fillcolor="#C00000" filled="t" stroked="t" coordsize="21600,21600" o:gfxdata="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K6Yq8AAAA&#10;2wAAAA8AAAAAAAAAAQAgAAAAIgAAAGRycy9kb3ducmV2LnhtbFBLAQIUABQAAAAIAIdO4kAzLwWe&#10;OwAAADkAAAAQAAAAAAAAAAEAIAAAAAsBAABkcnMvc2hhcGV4bWwueG1sUEsFBgAAAAAGAAYAWwEA&#10;ALUDAAAAAA==&#10;">
                  <v:fill on="t" focussize="0,0"/>
                  <v:stroke weight="2pt" color="#C00000 [3204]" joinstyle="round"/>
                  <v:imagedata o:title=""/>
                  <o:lock v:ext="edit" aspectratio="f"/>
                </v:shape>
                <v:shape id="_x0000_s1026" o:spid="_x0000_s1026" o:spt="32" type="#_x0000_t32" style="position:absolute;left:4495800;top:1495425;flip:x;height:285750;width:990600;" filled="f" stroked="t" coordsize="21600,21600" o:gfxdata="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YLTu8AAAA&#10;2wAAAA8AAAAAAAAAAQAgAAAAIgAAAGRycy9kb3ducmV2LnhtbFBLAQIUABQAAAAIAIdO4kAzLwWe&#10;OwAAADkAAAAQAAAAAAAAAAEAIAAAAAsBAABkcnMvc2hhcGV4bWwueG1sUEsFBgAAAAAGAAYAWwEA&#10;ALUDAAAAAA==&#10;">
                  <v:fill on="f" focussize="0,0"/>
                  <v:stroke weight="1.25pt" color="#FF3300 [3204]" joinstyle="round" endarrow="block"/>
                  <v:imagedata o:title=""/>
                  <o:lock v:ext="edit" aspectratio="f"/>
                </v:shape>
                <v:shape id="_x0000_s1026" o:spid="_x0000_s1026" o:spt="32" type="#_x0000_t32" style="position:absolute;left:5162550;top:1590675;flip:x;height:771525;width:378460;" filled="f" stroked="t" coordsize="21600,21600" o:gfxdata="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F9j4ugAAANsA&#10;AAAPAAAAAAAAAAEAIAAAACIAAABkcnMvZG93bnJldi54bWxQSwECFAAUAAAACACHTuJAMy8FnjsA&#10;AAA5AAAAEAAAAAAAAAABACAAAAAJAQAAZHJzL3NoYXBleG1sLnhtbFBLBQYAAAAABgAGAFsBAACz&#10;AwAAAAA=&#10;">
                  <v:fill on="f" focussize="0,0"/>
                  <v:stroke weight="1.25pt" color="#FF3300" miterlimit="8" joinstyle="miter" endarrow="block"/>
                  <v:imagedata o:title=""/>
                  <o:lock v:ext="edit" aspectratio="f"/>
                </v:shape>
                <v:shape id="_x0000_s1026" o:spid="_x0000_s1026" o:spt="202" type="#_x0000_t202" style="position:absolute;left:5543550;top:1247775;height:390525;width:1457325;" fillcolor="#EAEAEA" filled="t" stroked="f" coordsize="21600,21600" o:gfxdata="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W+u8AAAA&#10;2wAAAA8AAAAAAAAAAQAgAAAAIgAAAGRycy9kb3ducmV2LnhtbFBLAQIUABQAAAAIAIdO4kAzLwWe&#10;OwAAADkAAAAQAAAAAAAAAAEAIAAAAAsBAABkcnMvc2hhcGV4bWwueG1sUEsFBgAAAAAGAAYAWwEA&#10;ALUDAAAAAA==&#10;">
                  <v:fill on="t" opacity="26985f" focussize="0,0"/>
                  <v:stroke on="f" weight="0.5pt"/>
                  <v:imagedata o:title=""/>
                  <o:lock v:ext="edit" aspectratio="f"/>
                  <v:textbox>
                    <w:txbxContent>
                      <w:p>
                        <w:pPr>
                          <w:spacing w:before="0" w:beforeLines="0" w:line="240" w:lineRule="exact"/>
                          <w:ind w:firstLine="0" w:firstLineChars="0"/>
                          <w:rPr>
                            <w:rFonts w:ascii="微软雅黑" w:hAnsi="微软雅黑" w:eastAsia="微软雅黑"/>
                            <w:b/>
                            <w:color w:val="FF0000"/>
                            <w:sz w:val="26"/>
                            <w:szCs w:val="26"/>
                          </w:rPr>
                        </w:pPr>
                        <w:r>
                          <w:rPr>
                            <w:rFonts w:hint="eastAsia" w:ascii="微软雅黑" w:hAnsi="微软雅黑" w:eastAsia="微软雅黑"/>
                            <w:b/>
                            <w:color w:val="FF0000"/>
                            <w:sz w:val="26"/>
                            <w:szCs w:val="26"/>
                          </w:rPr>
                          <w:t>园</w:t>
                        </w:r>
                        <w:r>
                          <w:rPr>
                            <w:rFonts w:ascii="微软雅黑" w:hAnsi="微软雅黑" w:eastAsia="微软雅黑"/>
                            <w:b/>
                            <w:color w:val="FF0000"/>
                            <w:sz w:val="26"/>
                            <w:szCs w:val="26"/>
                          </w:rPr>
                          <w:t>区公共事故池</w:t>
                        </w:r>
                      </w:p>
                    </w:txbxContent>
                  </v:textbox>
                </v:shape>
              </v:group>
            </w:pict>
          </mc:Fallback>
        </mc:AlternateContent>
      </w: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spacing w:before="156"/>
        <w:ind w:left="480" w:firstLine="0" w:firstLineChars="0"/>
      </w:pPr>
    </w:p>
    <w:p>
      <w:pPr>
        <w:spacing w:before="156"/>
        <w:ind w:left="480" w:firstLine="0" w:firstLineChars="0"/>
      </w:pPr>
    </w:p>
    <w:p>
      <w:pPr>
        <w:spacing w:before="156"/>
        <w:ind w:left="480" w:firstLine="0" w:firstLineChars="0"/>
      </w:pPr>
    </w:p>
    <w:p>
      <w:pPr>
        <w:spacing w:before="156"/>
        <w:ind w:left="480" w:firstLine="0" w:firstLineChars="0"/>
      </w:pPr>
    </w:p>
    <w:p>
      <w:pPr>
        <w:spacing w:before="156"/>
        <w:ind w:left="480" w:firstLine="0" w:firstLineChars="0"/>
      </w:pPr>
    </w:p>
    <w:p>
      <w:pPr>
        <w:pStyle w:val="4"/>
        <w:spacing w:before="0"/>
        <w:ind w:left="301" w:hanging="301"/>
        <w:rPr>
          <w:color w:val="000000" w:themeColor="text1"/>
          <w14:textFill>
            <w14:solidFill>
              <w14:schemeClr w14:val="tx1"/>
            </w14:solidFill>
          </w14:textFill>
        </w:rPr>
      </w:pPr>
      <w:bookmarkStart w:id="166" w:name="_Toc116111010"/>
      <w:r>
        <w:rPr>
          <w:rFonts w:hint="eastAsia"/>
          <w:color w:val="000000" w:themeColor="text1"/>
          <w14:textFill>
            <w14:solidFill>
              <w14:schemeClr w14:val="tx1"/>
            </w14:solidFill>
          </w14:textFill>
        </w:rPr>
        <w:t xml:space="preserve">附件 </w:t>
      </w:r>
      <w:bookmarkEnd w:id="164"/>
      <w:r>
        <w:rPr>
          <w:rFonts w:hint="eastAsia"/>
          <w:color w:val="000000" w:themeColor="text1"/>
          <w14:textFill>
            <w14:solidFill>
              <w14:schemeClr w14:val="tx1"/>
            </w14:solidFill>
          </w14:textFill>
        </w:rPr>
        <w:t>8 抚顺高新技术产业开发区地理位置图</w:t>
      </w:r>
      <w:bookmarkEnd w:id="166"/>
    </w:p>
    <w:p>
      <w:pPr>
        <w:pStyle w:val="32"/>
        <w:spacing w:before="156"/>
        <w:ind w:firstLine="360"/>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59264" behindDoc="1" locked="0" layoutInCell="1" allowOverlap="1">
            <wp:simplePos x="0" y="0"/>
            <wp:positionH relativeFrom="column">
              <wp:posOffset>914400</wp:posOffset>
            </wp:positionH>
            <wp:positionV relativeFrom="paragraph">
              <wp:posOffset>57150</wp:posOffset>
            </wp:positionV>
            <wp:extent cx="6332220" cy="4575810"/>
            <wp:effectExtent l="0" t="0" r="0" b="0"/>
            <wp:wrapNone/>
            <wp:docPr id="21" name="图片 21" descr="C:\Users\ADMINI~1\AppData\Local\Temp\16404947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1640494714(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332400" cy="4575600"/>
                    </a:xfrm>
                    <a:prstGeom prst="rect">
                      <a:avLst/>
                    </a:prstGeom>
                    <a:noFill/>
                    <a:ln>
                      <a:noFill/>
                    </a:ln>
                  </pic:spPr>
                </pic:pic>
              </a:graphicData>
            </a:graphic>
          </wp:anchor>
        </w:drawing>
      </w:r>
    </w:p>
    <w:p>
      <w:pPr>
        <w:pStyle w:val="33"/>
        <w:spacing w:before="156"/>
        <w:ind w:left="0" w:firstLine="480"/>
        <w:jc w:val="center"/>
        <w:rPr>
          <w:color w:val="000000" w:themeColor="text1"/>
          <w14:textFill>
            <w14:solidFill>
              <w14:schemeClr w14:val="tx1"/>
            </w14:solidFill>
          </w14:textFill>
        </w:rPr>
        <w:sectPr>
          <w:pgSz w:w="16838" w:h="11906" w:orient="landscape"/>
          <w:pgMar w:top="1797" w:right="1701" w:bottom="1797" w:left="1985" w:header="851" w:footer="992" w:gutter="0"/>
          <w:cols w:space="425" w:num="1"/>
          <w:docGrid w:type="linesAndChars" w:linePitch="312" w:charSpace="0"/>
        </w:sectPr>
      </w:pPr>
    </w:p>
    <w:p>
      <w:pPr>
        <w:pStyle w:val="4"/>
        <w:spacing w:before="0"/>
        <w:ind w:left="301" w:hanging="301"/>
        <w:rPr>
          <w:color w:val="000000" w:themeColor="text1"/>
          <w14:textFill>
            <w14:solidFill>
              <w14:schemeClr w14:val="tx1"/>
            </w14:solidFill>
          </w14:textFill>
        </w:rPr>
        <w:sectPr>
          <w:footerReference r:id="rId14" w:type="default"/>
          <w:pgSz w:w="11906" w:h="16838"/>
          <w:pgMar w:top="1440" w:right="1800" w:bottom="1440" w:left="1800" w:header="851" w:footer="992" w:gutter="0"/>
          <w:cols w:space="425" w:num="1"/>
          <w:docGrid w:type="lines" w:linePitch="312" w:charSpace="0"/>
        </w:sectPr>
      </w:pPr>
      <w:bookmarkStart w:id="167" w:name="_Toc90840459"/>
      <w:bookmarkStart w:id="168" w:name="_Toc116111011"/>
      <w:r>
        <w:drawing>
          <wp:anchor distT="0" distB="0" distL="114300" distR="114300" simplePos="0" relativeHeight="251660288" behindDoc="1" locked="0" layoutInCell="1" allowOverlap="1">
            <wp:simplePos x="0" y="0"/>
            <wp:positionH relativeFrom="column">
              <wp:posOffset>0</wp:posOffset>
            </wp:positionH>
            <wp:positionV relativeFrom="paragraph">
              <wp:posOffset>396240</wp:posOffset>
            </wp:positionV>
            <wp:extent cx="5151120" cy="7898130"/>
            <wp:effectExtent l="0" t="0" r="0" b="7620"/>
            <wp:wrapNone/>
            <wp:docPr id="22" name="图片 22" descr="C:\Users\ADMINI~1\AppData\Local\Temp\16404949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1640494955(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151120" cy="7898130"/>
                    </a:xfrm>
                    <a:prstGeom prst="rect">
                      <a:avLst/>
                    </a:prstGeom>
                    <a:noFill/>
                    <a:ln>
                      <a:noFill/>
                    </a:ln>
                  </pic:spPr>
                </pic:pic>
              </a:graphicData>
            </a:graphic>
          </wp:anchor>
        </w:drawing>
      </w:r>
      <w:r>
        <w:rPr>
          <w:rFonts w:hint="eastAsia"/>
          <w:color w:val="000000" w:themeColor="text1"/>
          <w14:textFill>
            <w14:solidFill>
              <w14:schemeClr w14:val="tx1"/>
            </w14:solidFill>
          </w14:textFill>
        </w:rPr>
        <w:t xml:space="preserve">附件9 </w:t>
      </w:r>
      <w:bookmarkEnd w:id="167"/>
      <w:r>
        <w:rPr>
          <w:rFonts w:hint="eastAsia"/>
          <w:color w:val="000000" w:themeColor="text1"/>
          <w14:textFill>
            <w14:solidFill>
              <w14:schemeClr w14:val="tx1"/>
            </w14:solidFill>
          </w14:textFill>
        </w:rPr>
        <w:t>抚顺高新技术产业开发区功能结构分布图</w:t>
      </w:r>
      <w:bookmarkEnd w:id="168"/>
      <w:r>
        <w:rPr>
          <w:rFonts w:hint="eastAsia"/>
          <w:color w:val="000000" w:themeColor="text1"/>
          <w14:textFill>
            <w14:solidFill>
              <w14:schemeClr w14:val="tx1"/>
            </w14:solidFill>
          </w14:textFill>
        </w:rPr>
        <w:t xml:space="preserve"> </w:t>
      </w:r>
      <w:bookmarkStart w:id="169" w:name="_Toc90840461"/>
    </w:p>
    <w:p>
      <w:pPr>
        <w:pStyle w:val="4"/>
        <w:spacing w:before="0"/>
        <w:ind w:left="240" w:leftChars="100" w:firstLine="0" w:firstLineChars="0"/>
        <w:rPr>
          <w:color w:val="000000" w:themeColor="text1"/>
          <w14:textFill>
            <w14:solidFill>
              <w14:schemeClr w14:val="tx1"/>
            </w14:solidFill>
          </w14:textFill>
        </w:rPr>
      </w:pPr>
      <w:bookmarkStart w:id="170" w:name="_Toc116111012"/>
      <w:r>
        <w:rPr>
          <w:color w:val="000000" w:themeColor="text1"/>
          <w14:textFill>
            <w14:solidFill>
              <w14:schemeClr w14:val="tx1"/>
            </w14:solidFill>
          </w14:textFill>
        </w:rPr>
        <w:drawing>
          <wp:anchor distT="0" distB="0" distL="114300" distR="114300" simplePos="0" relativeHeight="251662336" behindDoc="1" locked="0" layoutInCell="1" allowOverlap="1">
            <wp:simplePos x="0" y="0"/>
            <wp:positionH relativeFrom="column">
              <wp:posOffset>695325</wp:posOffset>
            </wp:positionH>
            <wp:positionV relativeFrom="paragraph">
              <wp:posOffset>371475</wp:posOffset>
            </wp:positionV>
            <wp:extent cx="7211695" cy="5053965"/>
            <wp:effectExtent l="0" t="0" r="8890" b="0"/>
            <wp:wrapNone/>
            <wp:docPr id="25" name="图片 25" descr="C:\Users\ADMINI~1\AppData\Local\Temp\1640495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1640495371(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7211683" cy="5054221"/>
                    </a:xfrm>
                    <a:prstGeom prst="rect">
                      <a:avLst/>
                    </a:prstGeom>
                    <a:noFill/>
                    <a:ln>
                      <a:noFill/>
                    </a:ln>
                  </pic:spPr>
                </pic:pic>
              </a:graphicData>
            </a:graphic>
          </wp:anchor>
        </w:drawing>
      </w:r>
      <w:r>
        <w:rPr>
          <w:rFonts w:hint="eastAsia"/>
          <w:color w:val="000000" w:themeColor="text1"/>
          <w14:textFill>
            <w14:solidFill>
              <w14:schemeClr w14:val="tx1"/>
            </w14:solidFill>
          </w14:textFill>
        </w:rPr>
        <w:t>附件10  抚顺高新技术产业区</w:t>
      </w:r>
      <w:bookmarkEnd w:id="169"/>
      <w:r>
        <w:rPr>
          <w:rFonts w:hint="eastAsia"/>
          <w:color w:val="000000" w:themeColor="text1"/>
          <w14:textFill>
            <w14:solidFill>
              <w14:schemeClr w14:val="tx1"/>
            </w14:solidFill>
          </w14:textFill>
        </w:rPr>
        <w:t>土地利用规划</w:t>
      </w:r>
      <w:bookmarkEnd w:id="170"/>
    </w:p>
    <w:p>
      <w:pPr>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4"/>
        <w:spacing w:before="120"/>
        <w:ind w:left="301" w:hanging="301"/>
        <w:rPr>
          <w:color w:val="000000" w:themeColor="text1"/>
          <w14:textFill>
            <w14:solidFill>
              <w14:schemeClr w14:val="tx1"/>
            </w14:solidFill>
          </w14:textFill>
        </w:rPr>
      </w:pPr>
      <w:bookmarkStart w:id="171" w:name="_Toc116111013"/>
      <w:bookmarkStart w:id="172" w:name="_Toc91417923"/>
      <w:r>
        <w:rPr>
          <w:rFonts w:hint="eastAsia"/>
          <w:color w:val="000000" w:themeColor="text1"/>
          <w14:textFill>
            <w14:solidFill>
              <w14:schemeClr w14:val="tx1"/>
            </w14:solidFill>
          </w14:textFill>
        </w:rPr>
        <w:t>附件11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抚顺高新技术产业开发区产业布置局规划图</w:t>
      </w:r>
      <w:bookmarkEnd w:id="171"/>
      <w:bookmarkEnd w:id="172"/>
    </w:p>
    <w:p>
      <w:pPr>
        <w:spacing w:before="156"/>
        <w:ind w:firstLine="480"/>
      </w:pPr>
      <w:r>
        <w:drawing>
          <wp:anchor distT="0" distB="0" distL="114300" distR="114300" simplePos="0" relativeHeight="251663360" behindDoc="1" locked="0" layoutInCell="1" allowOverlap="1">
            <wp:simplePos x="0" y="0"/>
            <wp:positionH relativeFrom="column">
              <wp:posOffset>428625</wp:posOffset>
            </wp:positionH>
            <wp:positionV relativeFrom="paragraph">
              <wp:posOffset>15240</wp:posOffset>
            </wp:positionV>
            <wp:extent cx="7298055" cy="5111115"/>
            <wp:effectExtent l="0" t="0" r="0" b="0"/>
            <wp:wrapNone/>
            <wp:docPr id="34" name="图片 34" descr="C:\Users\ADMINI~1\AppData\Local\Temp\16404955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1\AppData\Local\Temp\1640495541(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7297948" cy="5111420"/>
                    </a:xfrm>
                    <a:prstGeom prst="rect">
                      <a:avLst/>
                    </a:prstGeom>
                    <a:noFill/>
                    <a:ln>
                      <a:noFill/>
                    </a:ln>
                  </pic:spPr>
                </pic:pic>
              </a:graphicData>
            </a:graphic>
          </wp:anchor>
        </w:drawing>
      </w:r>
    </w:p>
    <w:p>
      <w:pPr>
        <w:pStyle w:val="2"/>
        <w:spacing w:before="156"/>
        <w:ind w:firstLine="480"/>
      </w:pPr>
    </w:p>
    <w:p>
      <w:pPr>
        <w:pStyle w:val="2"/>
        <w:spacing w:before="156"/>
        <w:ind w:firstLine="480"/>
      </w:pPr>
    </w:p>
    <w:p>
      <w:pPr>
        <w:pStyle w:val="2"/>
        <w:spacing w:before="156"/>
        <w:ind w:firstLine="480"/>
      </w:pPr>
    </w:p>
    <w:p>
      <w:pPr>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spacing w:before="156"/>
        <w:ind w:firstLine="480"/>
      </w:pPr>
    </w:p>
    <w:p>
      <w:pPr>
        <w:pStyle w:val="2"/>
        <w:spacing w:before="156"/>
        <w:ind w:firstLine="480"/>
      </w:pPr>
    </w:p>
    <w:p>
      <w:pPr>
        <w:pStyle w:val="4"/>
        <w:spacing w:before="120"/>
        <w:ind w:left="301" w:hanging="301"/>
        <w:rPr>
          <w:color w:val="000000" w:themeColor="text1"/>
          <w14:textFill>
            <w14:solidFill>
              <w14:schemeClr w14:val="tx1"/>
            </w14:solidFill>
          </w14:textFill>
        </w:rPr>
      </w:pPr>
      <w:bookmarkStart w:id="173" w:name="_Toc116111014"/>
      <w:bookmarkStart w:id="174" w:name="_Toc91417926"/>
      <w:r>
        <w:rPr>
          <w:rFonts w:hint="eastAsia"/>
          <w:color w:val="000000" w:themeColor="text1"/>
          <w14:textFill>
            <w14:solidFill>
              <w14:schemeClr w14:val="tx1"/>
            </w14:solidFill>
          </w14:textFill>
        </w:rPr>
        <w:t>附件12  抚顺高新技术产业开发区污水排水规划图</w:t>
      </w:r>
      <w:bookmarkEnd w:id="173"/>
      <w:bookmarkEnd w:id="174"/>
    </w:p>
    <w:p>
      <w:pPr>
        <w:pStyle w:val="2"/>
        <w:spacing w:before="156"/>
        <w:ind w:firstLine="480"/>
      </w:pPr>
      <w:bookmarkStart w:id="175" w:name="_Toc91417927"/>
      <w:r>
        <w:rPr>
          <w:color w:val="000000" w:themeColor="text1"/>
          <w14:textFill>
            <w14:solidFill>
              <w14:schemeClr w14:val="tx1"/>
            </w14:solidFill>
          </w14:textFill>
        </w:rPr>
        <w:drawing>
          <wp:anchor distT="0" distB="0" distL="114300" distR="114300" simplePos="0" relativeHeight="251674624" behindDoc="1" locked="0" layoutInCell="1" allowOverlap="1">
            <wp:simplePos x="0" y="0"/>
            <wp:positionH relativeFrom="column">
              <wp:posOffset>409575</wp:posOffset>
            </wp:positionH>
            <wp:positionV relativeFrom="paragraph">
              <wp:posOffset>9525</wp:posOffset>
            </wp:positionV>
            <wp:extent cx="7496175" cy="5011420"/>
            <wp:effectExtent l="0" t="0" r="9525" b="0"/>
            <wp:wrapNone/>
            <wp:docPr id="40" name="图片 40" descr="C:\Users\ADMINI~1\AppData\Local\Temp\16404956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1\AppData\Local\Temp\164049569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7496175" cy="5011420"/>
                    </a:xfrm>
                    <a:prstGeom prst="rect">
                      <a:avLst/>
                    </a:prstGeom>
                    <a:noFill/>
                    <a:ln>
                      <a:noFill/>
                    </a:ln>
                  </pic:spPr>
                </pic:pic>
              </a:graphicData>
            </a:graphic>
          </wp:anchor>
        </w:drawing>
      </w:r>
      <w:bookmarkEnd w:id="175"/>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2"/>
        <w:spacing w:before="156"/>
        <w:ind w:firstLine="480"/>
      </w:pPr>
    </w:p>
    <w:p>
      <w:pPr>
        <w:pStyle w:val="4"/>
        <w:spacing w:before="120"/>
        <w:ind w:left="301" w:hanging="301"/>
        <w:rPr>
          <w:color w:val="000000" w:themeColor="text1"/>
          <w14:textFill>
            <w14:solidFill>
              <w14:schemeClr w14:val="tx1"/>
            </w14:solidFill>
          </w14:textFill>
        </w:rPr>
      </w:pPr>
      <w:bookmarkStart w:id="176" w:name="_Toc116111015"/>
      <w:r>
        <w:rPr>
          <w:rFonts w:hint="eastAsia"/>
          <w:color w:val="000000" w:themeColor="text1"/>
          <w14:textFill>
            <w14:solidFill>
              <w14:schemeClr w14:val="tx1"/>
            </w14:solidFill>
          </w14:textFill>
        </w:rPr>
        <w:t>附件13  核心</w:t>
      </w:r>
      <w:r>
        <w:rPr>
          <w:color w:val="000000" w:themeColor="text1"/>
          <w14:textFill>
            <w14:solidFill>
              <w14:schemeClr w14:val="tx1"/>
            </w14:solidFill>
          </w14:textFill>
        </w:rPr>
        <w:t>区和海新工业园区企业位置</w:t>
      </w:r>
      <w:r>
        <w:rPr>
          <w:rFonts w:hint="eastAsia"/>
          <w:color w:val="000000" w:themeColor="text1"/>
          <w14:textFill>
            <w14:solidFill>
              <w14:schemeClr w14:val="tx1"/>
            </w14:solidFill>
          </w14:textFill>
        </w:rPr>
        <w:t>示意</w:t>
      </w:r>
      <w:r>
        <w:rPr>
          <w:color w:val="000000" w:themeColor="text1"/>
          <w14:textFill>
            <w14:solidFill>
              <w14:schemeClr w14:val="tx1"/>
            </w14:solidFill>
          </w14:textFill>
        </w:rPr>
        <w:t>图</w:t>
      </w:r>
      <w:bookmarkEnd w:id="176"/>
    </w:p>
    <w:p>
      <w:pPr>
        <w:spacing w:before="156"/>
        <w:ind w:firstLine="480"/>
      </w:pPr>
      <w:r>
        <w:drawing>
          <wp:anchor distT="0" distB="0" distL="114300" distR="114300" simplePos="0" relativeHeight="251675648" behindDoc="1" locked="0" layoutInCell="1" allowOverlap="1">
            <wp:simplePos x="0" y="0"/>
            <wp:positionH relativeFrom="column">
              <wp:posOffset>0</wp:posOffset>
            </wp:positionH>
            <wp:positionV relativeFrom="paragraph">
              <wp:posOffset>0</wp:posOffset>
            </wp:positionV>
            <wp:extent cx="8351520" cy="4413250"/>
            <wp:effectExtent l="0" t="0" r="0" b="6350"/>
            <wp:wrapNone/>
            <wp:docPr id="49" name="图片 49" descr="C:\Users\ADMINI~1\AppData\Local\Temp\1640496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1\AppData\Local\Temp\164049616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8351520" cy="4413250"/>
                    </a:xfrm>
                    <a:prstGeom prst="rect">
                      <a:avLst/>
                    </a:prstGeom>
                    <a:noFill/>
                    <a:ln>
                      <a:noFill/>
                    </a:ln>
                  </pic:spPr>
                </pic:pic>
              </a:graphicData>
            </a:graphic>
          </wp:anchor>
        </w:drawing>
      </w:r>
    </w:p>
    <w:p>
      <w:pPr>
        <w:pStyle w:val="2"/>
        <w:spacing w:before="156"/>
        <w:ind w:firstLine="480"/>
      </w:pPr>
    </w:p>
    <w:p>
      <w:pPr>
        <w:pStyle w:val="2"/>
        <w:spacing w:before="156"/>
        <w:ind w:firstLine="480"/>
        <w:sectPr>
          <w:pgSz w:w="16838" w:h="11906" w:orient="landscape"/>
          <w:pgMar w:top="1797" w:right="1440" w:bottom="1797" w:left="1440" w:header="851" w:footer="992" w:gutter="0"/>
          <w:cols w:space="425" w:num="1"/>
          <w:docGrid w:type="linesAndChars" w:linePitch="312" w:charSpace="0"/>
        </w:sectPr>
      </w:pPr>
    </w:p>
    <w:p>
      <w:pPr>
        <w:pStyle w:val="4"/>
        <w:spacing w:before="120"/>
        <w:ind w:left="301" w:hanging="301"/>
        <w:rPr>
          <w:color w:val="000000" w:themeColor="text1"/>
          <w14:textFill>
            <w14:solidFill>
              <w14:schemeClr w14:val="tx1"/>
            </w14:solidFill>
          </w14:textFill>
        </w:rPr>
      </w:pPr>
      <w:bookmarkStart w:id="177" w:name="_Toc90840463"/>
      <w:bookmarkStart w:id="178" w:name="_Toc116111016"/>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4  兰山工业园区</w:t>
      </w:r>
      <w:bookmarkEnd w:id="177"/>
      <w:r>
        <w:rPr>
          <w:rFonts w:hint="eastAsia"/>
          <w:color w:val="000000" w:themeColor="text1"/>
          <w14:textFill>
            <w14:solidFill>
              <w14:schemeClr w14:val="tx1"/>
            </w14:solidFill>
          </w14:textFill>
        </w:rPr>
        <w:t>企业位置示意图</w:t>
      </w:r>
      <w:bookmarkEnd w:id="178"/>
    </w:p>
    <w:p>
      <w:pPr>
        <w:spacing w:before="120"/>
        <w:ind w:firstLine="480"/>
      </w:pPr>
      <w:r>
        <w:rPr>
          <w:color w:val="000000" w:themeColor="text1"/>
          <w14:textFill>
            <w14:solidFill>
              <w14:schemeClr w14:val="tx1"/>
            </w14:solidFill>
          </w14:textFill>
        </w:rPr>
        <w:drawing>
          <wp:anchor distT="0" distB="0" distL="114300" distR="114300" simplePos="0" relativeHeight="251676672" behindDoc="1" locked="0" layoutInCell="1" allowOverlap="1">
            <wp:simplePos x="0" y="0"/>
            <wp:positionH relativeFrom="column">
              <wp:posOffset>0</wp:posOffset>
            </wp:positionH>
            <wp:positionV relativeFrom="paragraph">
              <wp:posOffset>0</wp:posOffset>
            </wp:positionV>
            <wp:extent cx="5277485" cy="5903595"/>
            <wp:effectExtent l="0" t="0" r="0" b="1905"/>
            <wp:wrapNone/>
            <wp:docPr id="50" name="图片 50" descr="C:\Users\ADMINI~1\AppData\Local\Temp\1640496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1\AppData\Local\Temp\1640496298(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7485" cy="5903595"/>
                    </a:xfrm>
                    <a:prstGeom prst="rect">
                      <a:avLst/>
                    </a:prstGeom>
                    <a:noFill/>
                    <a:ln>
                      <a:noFill/>
                    </a:ln>
                  </pic:spPr>
                </pic:pic>
              </a:graphicData>
            </a:graphic>
          </wp:anchor>
        </w:drawing>
      </w: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4"/>
        <w:spacing w:before="120"/>
        <w:ind w:left="301" w:hanging="301"/>
        <w:rPr>
          <w:color w:val="000000" w:themeColor="text1"/>
          <w14:textFill>
            <w14:solidFill>
              <w14:schemeClr w14:val="tx1"/>
            </w14:solidFill>
          </w14:textFill>
        </w:rPr>
      </w:pPr>
      <w:bookmarkStart w:id="179" w:name="_Toc116111017"/>
      <w:bookmarkStart w:id="180" w:name="_Toc90840467"/>
      <w:r>
        <w:drawing>
          <wp:anchor distT="0" distB="0" distL="114300" distR="114300" simplePos="0" relativeHeight="251677696" behindDoc="1" locked="0" layoutInCell="1" allowOverlap="1">
            <wp:simplePos x="0" y="0"/>
            <wp:positionH relativeFrom="column">
              <wp:posOffset>85725</wp:posOffset>
            </wp:positionH>
            <wp:positionV relativeFrom="paragraph">
              <wp:posOffset>379095</wp:posOffset>
            </wp:positionV>
            <wp:extent cx="5277485" cy="7559675"/>
            <wp:effectExtent l="0" t="0" r="0" b="3175"/>
            <wp:wrapNone/>
            <wp:docPr id="51" name="图片 51" descr="C:\Users\ADMINI~1\AppData\Local\Temp\16404963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1\AppData\Local\Temp\1640496326(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7485" cy="7559675"/>
                    </a:xfrm>
                    <a:prstGeom prst="rect">
                      <a:avLst/>
                    </a:prstGeom>
                    <a:noFill/>
                    <a:ln>
                      <a:noFill/>
                    </a:ln>
                  </pic:spPr>
                </pic:pic>
              </a:graphicData>
            </a:graphic>
          </wp:anchor>
        </w:drawing>
      </w:r>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  青草沟工业园区企业位置示意图</w:t>
      </w:r>
      <w:bookmarkEnd w:id="179"/>
      <w:bookmarkEnd w:id="180"/>
    </w:p>
    <w:p>
      <w:pPr>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4"/>
        <w:spacing w:before="120"/>
        <w:ind w:left="301" w:hanging="301"/>
        <w:rPr>
          <w:color w:val="000000" w:themeColor="text1"/>
          <w14:textFill>
            <w14:solidFill>
              <w14:schemeClr w14:val="tx1"/>
            </w14:solidFill>
          </w14:textFill>
        </w:rPr>
      </w:pPr>
      <w:bookmarkStart w:id="181" w:name="_Toc116111018"/>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6 应急监测协议</w:t>
      </w:r>
      <w:bookmarkEnd w:id="181"/>
    </w:p>
    <w:p>
      <w:pPr>
        <w:pStyle w:val="2"/>
        <w:spacing w:before="120"/>
        <w:ind w:firstLine="480"/>
      </w:pPr>
      <w:r>
        <w:drawing>
          <wp:anchor distT="0" distB="0" distL="114300" distR="114300" simplePos="0" relativeHeight="251679744" behindDoc="0" locked="0" layoutInCell="1" allowOverlap="1">
            <wp:simplePos x="0" y="0"/>
            <wp:positionH relativeFrom="column">
              <wp:posOffset>-362585</wp:posOffset>
            </wp:positionH>
            <wp:positionV relativeFrom="paragraph">
              <wp:posOffset>19685</wp:posOffset>
            </wp:positionV>
            <wp:extent cx="6696710" cy="7648575"/>
            <wp:effectExtent l="0" t="0" r="8890" b="0"/>
            <wp:wrapNone/>
            <wp:docPr id="53" name="图片 53" descr="C:\Users\Administrator\Documents\WeChat Files\a22740867\FileStorage\Temp\165966727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strator\Documents\WeChat Files\a22740867\FileStorage\Temp\165966727151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696715" cy="7648575"/>
                    </a:xfrm>
                    <a:prstGeom prst="rect">
                      <a:avLst/>
                    </a:prstGeom>
                    <a:noFill/>
                    <a:ln>
                      <a:noFill/>
                    </a:ln>
                  </pic:spPr>
                </pic:pic>
              </a:graphicData>
            </a:graphic>
          </wp:anchor>
        </w:drawing>
      </w:r>
    </w:p>
    <w:p>
      <w:pPr>
        <w:pStyle w:val="2"/>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r>
        <w:drawing>
          <wp:anchor distT="0" distB="0" distL="114300" distR="114300" simplePos="0" relativeHeight="251680768" behindDoc="0" locked="0" layoutInCell="1" allowOverlap="1">
            <wp:simplePos x="0" y="0"/>
            <wp:positionH relativeFrom="page">
              <wp:posOffset>390525</wp:posOffset>
            </wp:positionH>
            <wp:positionV relativeFrom="paragraph">
              <wp:posOffset>63500</wp:posOffset>
            </wp:positionV>
            <wp:extent cx="7080250" cy="8096250"/>
            <wp:effectExtent l="0" t="0" r="6350" b="0"/>
            <wp:wrapNone/>
            <wp:docPr id="54" name="图片 54" descr="C:\Users\Administrator\Documents\WeChat Files\a22740867\FileStorage\Temp\1659667397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strator\Documents\WeChat Files\a22740867\FileStorage\Temp\165966739760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7080250" cy="8096250"/>
                    </a:xfrm>
                    <a:prstGeom prst="rect">
                      <a:avLst/>
                    </a:prstGeom>
                    <a:noFill/>
                    <a:ln>
                      <a:noFill/>
                    </a:ln>
                  </pic:spPr>
                </pic:pic>
              </a:graphicData>
            </a:graphic>
          </wp:anchor>
        </w:drawing>
      </w: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2"/>
        <w:spacing w:before="120"/>
        <w:ind w:firstLine="480"/>
      </w:pPr>
    </w:p>
    <w:p>
      <w:pPr>
        <w:pStyle w:val="4"/>
        <w:spacing w:before="120"/>
        <w:ind w:left="301" w:hanging="301"/>
        <w:rPr>
          <w:color w:val="000000" w:themeColor="text1"/>
          <w14:textFill>
            <w14:solidFill>
              <w14:schemeClr w14:val="tx1"/>
            </w14:solidFill>
          </w14:textFill>
        </w:rPr>
      </w:pPr>
      <w:bookmarkStart w:id="182" w:name="_Toc116111019"/>
      <w:bookmarkStart w:id="183" w:name="_Toc91417936"/>
      <w:r>
        <w:rPr>
          <w:color w:val="000000" w:themeColor="text1"/>
          <w14:textFill>
            <w14:solidFill>
              <w14:schemeClr w14:val="tx1"/>
            </w14:solidFill>
          </w14:textFill>
        </w:rPr>
        <w:t xml:space="preserve">附件 </w:t>
      </w:r>
      <w:r>
        <w:rPr>
          <w:rFonts w:hint="eastAsia"/>
          <w:color w:val="000000" w:themeColor="text1"/>
          <w14:textFill>
            <w14:solidFill>
              <w14:schemeClr w14:val="tx1"/>
            </w14:solidFill>
          </w14:textFill>
        </w:rPr>
        <w:t>17 风险物质</w:t>
      </w:r>
      <w:r>
        <w:rPr>
          <w:color w:val="000000" w:themeColor="text1"/>
          <w14:textFill>
            <w14:solidFill>
              <w14:schemeClr w14:val="tx1"/>
            </w14:solidFill>
          </w14:textFill>
        </w:rPr>
        <w:t>应急处置表</w:t>
      </w:r>
      <w:bookmarkEnd w:id="182"/>
      <w:bookmarkEnd w:id="183"/>
    </w:p>
    <w:p>
      <w:pPr>
        <w:spacing w:before="0" w:beforeLines="0" w:line="240" w:lineRule="exact"/>
        <w:ind w:firstLine="420"/>
        <w:jc w:val="center"/>
        <w:rPr>
          <w:sz w:val="21"/>
          <w:szCs w:val="21"/>
        </w:rPr>
      </w:pPr>
      <w:r>
        <w:rPr>
          <w:sz w:val="21"/>
          <w:szCs w:val="21"/>
        </w:rPr>
        <w:t xml:space="preserve"> 间戊二烯的理化性质</w:t>
      </w:r>
    </w:p>
    <w:tbl>
      <w:tblPr>
        <w:tblStyle w:val="54"/>
        <w:tblW w:w="93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3041"/>
        <w:gridCol w:w="1311"/>
        <w:gridCol w:w="3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308" w:type="dxa"/>
            <w:gridSpan w:val="4"/>
            <w:vAlign w:val="center"/>
          </w:tcPr>
          <w:p>
            <w:pPr>
              <w:pStyle w:val="48"/>
              <w:adjustRightInd w:val="0"/>
              <w:snapToGrid w:val="0"/>
              <w:spacing w:before="0" w:line="240" w:lineRule="exact"/>
              <w:rPr>
                <w:rFonts w:cs="宋体"/>
                <w:b/>
                <w:sz w:val="21"/>
                <w:szCs w:val="21"/>
              </w:rPr>
            </w:pPr>
            <w:r>
              <w:rPr>
                <w:rFonts w:hint="eastAsia" w:cs="宋体"/>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widowControl/>
              <w:adjustRightInd w:val="0"/>
              <w:snapToGrid w:val="0"/>
              <w:spacing w:before="0" w:beforeLines="0" w:line="240" w:lineRule="exact"/>
              <w:ind w:firstLine="0" w:firstLineChars="0"/>
              <w:rPr>
                <w:rFonts w:ascii="宋体" w:hAnsi="宋体" w:cs="宋体"/>
                <w:kern w:val="0"/>
                <w:sz w:val="21"/>
                <w:szCs w:val="21"/>
              </w:rPr>
            </w:pPr>
            <w:r>
              <w:rPr>
                <w:rFonts w:hint="eastAsia" w:ascii="宋体" w:hAnsi="宋体" w:cs="宋体"/>
                <w:kern w:val="0"/>
                <w:sz w:val="21"/>
                <w:szCs w:val="21"/>
              </w:rPr>
              <w:t>中文名称</w:t>
            </w:r>
          </w:p>
        </w:tc>
        <w:tc>
          <w:tcPr>
            <w:tcW w:w="8004" w:type="dxa"/>
            <w:gridSpan w:val="3"/>
            <w:vAlign w:val="center"/>
          </w:tcPr>
          <w:p>
            <w:pPr>
              <w:adjustRightInd w:val="0"/>
              <w:snapToGrid w:val="0"/>
              <w:spacing w:before="0" w:beforeLines="0" w:line="240" w:lineRule="exact"/>
              <w:ind w:firstLine="0" w:firstLineChars="0"/>
              <w:rPr>
                <w:rFonts w:ascii="宋体" w:hAnsi="宋体" w:cs="宋体"/>
                <w:sz w:val="21"/>
                <w:szCs w:val="21"/>
              </w:rPr>
            </w:pPr>
            <w:r>
              <w:rPr>
                <w:rFonts w:hint="eastAsia" w:ascii="宋体" w:hAnsi="宋体" w:cs="宋体"/>
                <w:sz w:val="21"/>
                <w:szCs w:val="21"/>
              </w:rPr>
              <w:t>1,3-戊二烯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widowControl/>
              <w:adjustRightInd w:val="0"/>
              <w:snapToGrid w:val="0"/>
              <w:spacing w:before="0" w:beforeLines="0" w:line="240" w:lineRule="exact"/>
              <w:ind w:firstLine="0" w:firstLineChars="0"/>
              <w:rPr>
                <w:rFonts w:ascii="宋体" w:hAnsi="宋体" w:cs="宋体"/>
                <w:kern w:val="0"/>
                <w:sz w:val="21"/>
                <w:szCs w:val="21"/>
              </w:rPr>
            </w:pPr>
            <w:r>
              <w:rPr>
                <w:rFonts w:hint="eastAsia" w:ascii="宋体" w:hAnsi="宋体" w:cs="宋体"/>
                <w:kern w:val="0"/>
                <w:sz w:val="21"/>
                <w:szCs w:val="21"/>
              </w:rPr>
              <w:t>别名</w:t>
            </w:r>
          </w:p>
        </w:tc>
        <w:tc>
          <w:tcPr>
            <w:tcW w:w="8004" w:type="dxa"/>
            <w:gridSpan w:val="3"/>
            <w:vAlign w:val="center"/>
          </w:tcPr>
          <w:p>
            <w:pPr>
              <w:adjustRightInd w:val="0"/>
              <w:snapToGrid w:val="0"/>
              <w:spacing w:before="0" w:beforeLines="0" w:line="240" w:lineRule="exact"/>
              <w:ind w:firstLine="0" w:firstLineChars="0"/>
              <w:rPr>
                <w:rFonts w:ascii="宋体" w:hAnsi="宋体" w:cs="宋体"/>
                <w:sz w:val="21"/>
                <w:szCs w:val="21"/>
              </w:rPr>
            </w:pPr>
            <w:r>
              <w:rPr>
                <w:rFonts w:hint="eastAsia" w:ascii="宋体" w:hAnsi="宋体" w:cs="宋体"/>
                <w:sz w:val="21"/>
                <w:szCs w:val="21"/>
              </w:rPr>
              <w:t>间戊二烯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分子式</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C</w:t>
            </w:r>
            <w:r>
              <w:rPr>
                <w:rFonts w:hint="eastAsia" w:ascii="宋体" w:hAnsi="宋体" w:cs="宋体"/>
                <w:sz w:val="21"/>
                <w:szCs w:val="21"/>
                <w:vertAlign w:val="subscript"/>
              </w:rPr>
              <w:t>5</w:t>
            </w:r>
            <w:r>
              <w:rPr>
                <w:rFonts w:hint="eastAsia" w:ascii="宋体" w:hAnsi="宋体" w:cs="宋体"/>
                <w:sz w:val="21"/>
                <w:szCs w:val="21"/>
              </w:rPr>
              <w:t>H</w:t>
            </w:r>
            <w:r>
              <w:rPr>
                <w:rFonts w:hint="eastAsia" w:ascii="宋体" w:hAnsi="宋体" w:cs="宋体"/>
                <w:sz w:val="21"/>
                <w:szCs w:val="21"/>
                <w:vertAlign w:val="subscript"/>
              </w:rPr>
              <w:t>8</w:t>
            </w:r>
            <w:r>
              <w:rPr>
                <w:rFonts w:hint="eastAsia" w:ascii="宋体" w:hAnsi="宋体" w:cs="宋体"/>
                <w:sz w:val="21"/>
                <w:szCs w:val="21"/>
              </w:rPr>
              <w:t>；CH</w:t>
            </w:r>
            <w:r>
              <w:rPr>
                <w:rFonts w:hint="eastAsia" w:ascii="宋体" w:hAnsi="宋体" w:cs="宋体"/>
                <w:sz w:val="21"/>
                <w:szCs w:val="21"/>
                <w:vertAlign w:val="subscript"/>
              </w:rPr>
              <w:t>3</w:t>
            </w:r>
            <w:r>
              <w:rPr>
                <w:rFonts w:hint="eastAsia" w:ascii="宋体" w:hAnsi="宋体" w:cs="宋体"/>
                <w:sz w:val="21"/>
                <w:szCs w:val="21"/>
              </w:rPr>
              <w:t>CH(CH)</w:t>
            </w:r>
            <w:r>
              <w:rPr>
                <w:rFonts w:hint="eastAsia" w:ascii="宋体" w:hAnsi="宋体" w:cs="宋体"/>
                <w:sz w:val="21"/>
                <w:szCs w:val="21"/>
                <w:vertAlign w:val="subscript"/>
              </w:rPr>
              <w:t>2</w:t>
            </w:r>
            <w:r>
              <w:rPr>
                <w:rFonts w:hint="eastAsia" w:ascii="宋体" w:hAnsi="宋体" w:cs="宋体"/>
                <w:sz w:val="21"/>
                <w:szCs w:val="21"/>
              </w:rPr>
              <w:t>CH</w:t>
            </w:r>
            <w:r>
              <w:rPr>
                <w:rFonts w:hint="eastAsia" w:ascii="宋体" w:hAnsi="宋体" w:cs="宋体"/>
                <w:sz w:val="21"/>
                <w:szCs w:val="21"/>
                <w:vertAlign w:val="subscript"/>
              </w:rPr>
              <w:t>2</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外观与性状</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无色液体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分子量</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68.12</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蒸汽压</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53.32kPa/24.7℃ 闪点：-29℃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熔点</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-92.7℃/工业纯 沸点：42.3℃</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溶解性</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不溶于水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密度</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相对密度(水=1)0.68；相对密度(空气=1)2.4</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稳定性</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危险标记</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4(易燃气体)</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主要用途</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主要的工业用途是生产石油树脂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4" w:hRule="atLeast"/>
          <w:jc w:val="center"/>
        </w:trPr>
        <w:tc>
          <w:tcPr>
            <w:tcW w:w="9308" w:type="dxa"/>
            <w:gridSpan w:val="4"/>
          </w:tcPr>
          <w:p>
            <w:pPr>
              <w:pStyle w:val="48"/>
              <w:adjustRightInd w:val="0"/>
              <w:snapToGrid w:val="0"/>
              <w:spacing w:before="0" w:beforeAutospacing="0" w:after="0" w:afterAutospacing="0" w:line="260" w:lineRule="exact"/>
              <w:rPr>
                <w:rFonts w:cs="宋体"/>
                <w:b/>
                <w:sz w:val="21"/>
                <w:szCs w:val="21"/>
              </w:rPr>
            </w:pPr>
            <w:r>
              <w:rPr>
                <w:rFonts w:hint="eastAsia" w:cs="宋体"/>
                <w:b/>
                <w:sz w:val="21"/>
                <w:szCs w:val="21"/>
              </w:rPr>
              <w:t>2.对环境的影响:</w:t>
            </w:r>
          </w:p>
          <w:p>
            <w:pPr>
              <w:pStyle w:val="48"/>
              <w:spacing w:before="0" w:beforeAutospacing="0" w:after="0" w:afterAutospacing="0" w:line="260" w:lineRule="exact"/>
              <w:rPr>
                <w:rFonts w:cs="宋体"/>
                <w:sz w:val="21"/>
                <w:szCs w:val="21"/>
              </w:rPr>
            </w:pPr>
            <w:r>
              <w:rPr>
                <w:rFonts w:hint="eastAsia" w:cs="宋体"/>
                <w:sz w:val="21"/>
                <w:szCs w:val="21"/>
              </w:rPr>
              <w:t>一、健康危害</w:t>
            </w:r>
          </w:p>
          <w:p>
            <w:pPr>
              <w:pStyle w:val="48"/>
              <w:spacing w:before="0" w:beforeAutospacing="0" w:after="0" w:afterAutospacing="0" w:line="260" w:lineRule="exact"/>
              <w:rPr>
                <w:rFonts w:cs="宋体"/>
                <w:sz w:val="21"/>
                <w:szCs w:val="21"/>
              </w:rPr>
            </w:pPr>
            <w:r>
              <w:rPr>
                <w:rFonts w:hint="eastAsia" w:cs="宋体"/>
                <w:sz w:val="21"/>
                <w:szCs w:val="21"/>
              </w:rPr>
              <w:t>侵入途径：吸入、食入。</w:t>
            </w:r>
            <w:r>
              <w:rPr>
                <w:rFonts w:hint="eastAsia" w:cs="宋体"/>
                <w:sz w:val="21"/>
                <w:szCs w:val="21"/>
              </w:rPr>
              <w:br w:type="textWrapping"/>
            </w:r>
            <w:r>
              <w:rPr>
                <w:rFonts w:hint="eastAsia" w:cs="宋体"/>
                <w:sz w:val="21"/>
                <w:szCs w:val="21"/>
              </w:rPr>
              <w:t>健康危害：对眼睛、皮肤、粘膜和呼吸道有刺激作用。</w:t>
            </w:r>
          </w:p>
          <w:p>
            <w:pPr>
              <w:pStyle w:val="48"/>
              <w:spacing w:before="0" w:beforeAutospacing="0" w:after="0" w:afterAutospacing="0" w:line="260" w:lineRule="exact"/>
              <w:rPr>
                <w:rFonts w:cs="宋体"/>
                <w:sz w:val="21"/>
                <w:szCs w:val="21"/>
              </w:rPr>
            </w:pPr>
            <w:r>
              <w:rPr>
                <w:rFonts w:hint="eastAsia" w:cs="宋体"/>
                <w:sz w:val="21"/>
                <w:szCs w:val="21"/>
              </w:rPr>
              <w:t>二、毒理学资料及环境行为</w:t>
            </w:r>
          </w:p>
          <w:p>
            <w:pPr>
              <w:pStyle w:val="48"/>
              <w:spacing w:before="0" w:beforeAutospacing="0" w:after="0" w:afterAutospacing="0" w:line="260" w:lineRule="exact"/>
              <w:rPr>
                <w:rFonts w:cs="宋体"/>
                <w:sz w:val="21"/>
                <w:szCs w:val="21"/>
              </w:rPr>
            </w:pPr>
            <w:r>
              <w:rPr>
                <w:rFonts w:hint="eastAsia" w:cs="宋体"/>
                <w:sz w:val="21"/>
                <w:szCs w:val="21"/>
              </w:rPr>
              <w:t>急性毒性：LC</w:t>
            </w:r>
            <w:r>
              <w:rPr>
                <w:rFonts w:hint="eastAsia" w:cs="宋体"/>
                <w:sz w:val="21"/>
                <w:szCs w:val="21"/>
                <w:vertAlign w:val="subscript"/>
              </w:rPr>
              <w:t>50</w:t>
            </w:r>
            <w:r>
              <w:rPr>
                <w:rFonts w:hint="eastAsia" w:cs="宋体"/>
                <w:sz w:val="21"/>
                <w:szCs w:val="21"/>
              </w:rPr>
              <w:t>140000mg/m</w:t>
            </w:r>
            <w:r>
              <w:rPr>
                <w:rFonts w:hint="eastAsia" w:cs="宋体"/>
                <w:sz w:val="21"/>
                <w:szCs w:val="21"/>
                <w:vertAlign w:val="superscript"/>
              </w:rPr>
              <w:t>3</w:t>
            </w:r>
            <w:r>
              <w:rPr>
                <w:rFonts w:hint="eastAsia" w:cs="宋体"/>
                <w:sz w:val="21"/>
                <w:szCs w:val="21"/>
              </w:rPr>
              <w:t>，2小时(大鼠吸入)</w:t>
            </w:r>
            <w:r>
              <w:rPr>
                <w:rFonts w:hint="eastAsia" w:cs="宋体"/>
                <w:sz w:val="21"/>
                <w:szCs w:val="21"/>
              </w:rPr>
              <w:br w:type="textWrapping"/>
            </w:r>
            <w:r>
              <w:rPr>
                <w:rFonts w:hint="eastAsia" w:cs="宋体"/>
                <w:sz w:val="21"/>
                <w:szCs w:val="21"/>
              </w:rPr>
              <w:t>危险特性：易燃，与空气混合能形成爆炸性混合物。接触热、火星、火焰或氧化剂易燃烧爆炸。若遇高热，可发生聚合反应，放出大量热量而引起容器破裂和爆炸事故。气体比空气重，能在较低处扩散到相当远的地方，遇明火会引着回燃。</w:t>
            </w:r>
          </w:p>
          <w:p>
            <w:pPr>
              <w:pStyle w:val="48"/>
              <w:spacing w:before="0" w:beforeAutospacing="0" w:after="0" w:afterAutospacing="0" w:line="260" w:lineRule="exact"/>
              <w:rPr>
                <w:rFonts w:cs="宋体"/>
                <w:sz w:val="21"/>
                <w:szCs w:val="21"/>
              </w:rPr>
            </w:pPr>
            <w:r>
              <w:rPr>
                <w:rFonts w:hint="eastAsia" w:cs="宋体"/>
                <w:sz w:val="21"/>
                <w:szCs w:val="21"/>
              </w:rPr>
              <w:t>燃烧(分解)产物：一氧化碳、二氧化碳。</w:t>
            </w:r>
          </w:p>
          <w:p>
            <w:pPr>
              <w:pStyle w:val="48"/>
              <w:adjustRightInd w:val="0"/>
              <w:snapToGrid w:val="0"/>
              <w:spacing w:before="0" w:beforeAutospacing="0" w:after="0" w:afterAutospacing="0" w:line="260" w:lineRule="exact"/>
              <w:rPr>
                <w:rFonts w:cs="宋体"/>
                <w:b/>
                <w:sz w:val="21"/>
                <w:szCs w:val="21"/>
              </w:rPr>
            </w:pPr>
            <w:r>
              <w:rPr>
                <w:rFonts w:hint="eastAsia" w:cs="宋体"/>
                <w:b/>
                <w:sz w:val="21"/>
                <w:szCs w:val="21"/>
              </w:rPr>
              <w:t>3.应急处理处置方法:</w:t>
            </w:r>
          </w:p>
          <w:p>
            <w:pPr>
              <w:pStyle w:val="48"/>
              <w:spacing w:before="0" w:beforeAutospacing="0" w:after="0" w:afterAutospacing="0" w:line="260" w:lineRule="exact"/>
              <w:rPr>
                <w:rFonts w:cs="宋体"/>
                <w:sz w:val="21"/>
                <w:szCs w:val="21"/>
              </w:rPr>
            </w:pPr>
            <w:r>
              <w:rPr>
                <w:rFonts w:hint="eastAsia" w:cs="宋体"/>
                <w:sz w:val="21"/>
                <w:szCs w:val="21"/>
              </w:rPr>
              <w:t>一、泄漏应急处理</w:t>
            </w:r>
          </w:p>
          <w:p>
            <w:pPr>
              <w:pStyle w:val="48"/>
              <w:spacing w:before="0" w:beforeAutospacing="0" w:after="0" w:afterAutospacing="0" w:line="260" w:lineRule="exact"/>
              <w:rPr>
                <w:rFonts w:cs="宋体"/>
                <w:sz w:val="21"/>
                <w:szCs w:val="21"/>
              </w:rPr>
            </w:pPr>
            <w:r>
              <w:rPr>
                <w:rFonts w:hint="eastAsia" w:cs="宋体"/>
                <w:sz w:val="21"/>
                <w:szCs w:val="21"/>
              </w:rPr>
              <w:t>迅速撤离泄漏污染区人员至上风处，并进行隔离，严格限制出入。切断火源。建议应急处理人员戴自给正压式呼吸器，穿消防防护服。从上风处进入现场。尽可能切断泄漏源。小量泄漏：用砂土或其它不燃材料吸附或吸收。也可以用不燃性分散剂制成的乳液刷洗，洗液稀释后放入废水系统。大量泄漏：构筑围堤或挖坑收容；用泡沫覆盖，降低蒸汽灾害。喷雾状水冷却和稀释蒸汽、保护现场人员、把泄漏物稀释成不燃物。用防爆泵转移至槽车或专用收集器内，回收或运至废物处理场所处置。</w:t>
            </w:r>
          </w:p>
          <w:p>
            <w:pPr>
              <w:pStyle w:val="48"/>
              <w:spacing w:before="0" w:beforeAutospacing="0" w:after="0" w:afterAutospacing="0" w:line="260" w:lineRule="exact"/>
              <w:rPr>
                <w:rFonts w:cs="宋体"/>
                <w:sz w:val="21"/>
                <w:szCs w:val="21"/>
              </w:rPr>
            </w:pPr>
            <w:r>
              <w:rPr>
                <w:rFonts w:hint="eastAsia" w:cs="宋体"/>
                <w:sz w:val="21"/>
                <w:szCs w:val="21"/>
              </w:rPr>
              <w:t>二、防护措施</w:t>
            </w:r>
          </w:p>
          <w:p>
            <w:pPr>
              <w:pStyle w:val="48"/>
              <w:spacing w:before="0" w:beforeAutospacing="0" w:after="0" w:afterAutospacing="0" w:line="260" w:lineRule="exact"/>
              <w:rPr>
                <w:rFonts w:cs="宋体"/>
                <w:sz w:val="21"/>
                <w:szCs w:val="21"/>
              </w:rPr>
            </w:pPr>
            <w:r>
              <w:rPr>
                <w:rFonts w:hint="eastAsia" w:cs="宋体"/>
                <w:sz w:val="21"/>
                <w:szCs w:val="21"/>
              </w:rPr>
              <w:t>呼吸系统防护：空气中浓度较高时，建议佩带自吸过滤式防毒面具(半面罩)。</w:t>
            </w:r>
          </w:p>
          <w:p>
            <w:pPr>
              <w:pStyle w:val="48"/>
              <w:spacing w:before="0" w:beforeAutospacing="0" w:after="0" w:afterAutospacing="0" w:line="260" w:lineRule="exact"/>
              <w:rPr>
                <w:rFonts w:cs="宋体"/>
                <w:sz w:val="21"/>
                <w:szCs w:val="21"/>
              </w:rPr>
            </w:pPr>
            <w:r>
              <w:rPr>
                <w:rFonts w:hint="eastAsia" w:cs="宋体"/>
                <w:sz w:val="21"/>
                <w:szCs w:val="21"/>
              </w:rPr>
              <w:t>眼睛防护：戴化学安全防护眼镜。</w:t>
            </w:r>
          </w:p>
          <w:p>
            <w:pPr>
              <w:pStyle w:val="48"/>
              <w:spacing w:before="0" w:beforeAutospacing="0" w:after="0" w:afterAutospacing="0" w:line="260" w:lineRule="exact"/>
              <w:rPr>
                <w:rFonts w:cs="宋体"/>
                <w:sz w:val="21"/>
                <w:szCs w:val="21"/>
              </w:rPr>
            </w:pPr>
            <w:r>
              <w:rPr>
                <w:rFonts w:hint="eastAsia" w:cs="宋体"/>
                <w:sz w:val="21"/>
                <w:szCs w:val="21"/>
              </w:rPr>
              <w:t>身体防护：穿防静电工作服。</w:t>
            </w:r>
          </w:p>
          <w:p>
            <w:pPr>
              <w:pStyle w:val="48"/>
              <w:spacing w:before="0" w:beforeAutospacing="0" w:after="0" w:afterAutospacing="0" w:line="260" w:lineRule="exact"/>
              <w:rPr>
                <w:rFonts w:cs="宋体"/>
                <w:sz w:val="21"/>
                <w:szCs w:val="21"/>
              </w:rPr>
            </w:pPr>
            <w:r>
              <w:rPr>
                <w:rFonts w:hint="eastAsia" w:cs="宋体"/>
                <w:sz w:val="21"/>
                <w:szCs w:val="21"/>
              </w:rPr>
              <w:t>手防护：戴一般作业防护手套。</w:t>
            </w:r>
          </w:p>
          <w:p>
            <w:pPr>
              <w:pStyle w:val="48"/>
              <w:spacing w:before="0" w:beforeAutospacing="0" w:after="0" w:afterAutospacing="0" w:line="260" w:lineRule="exact"/>
              <w:rPr>
                <w:rFonts w:cs="宋体"/>
                <w:sz w:val="21"/>
                <w:szCs w:val="21"/>
              </w:rPr>
            </w:pPr>
            <w:r>
              <w:rPr>
                <w:rFonts w:hint="eastAsia" w:cs="宋体"/>
                <w:sz w:val="21"/>
                <w:szCs w:val="21"/>
              </w:rPr>
              <w:t>其它：工作现场严禁吸烟。避免长期反复接触。进入罐、限制性空间或其它高浓度区作业，须有人监护。</w:t>
            </w:r>
          </w:p>
          <w:p>
            <w:pPr>
              <w:pStyle w:val="48"/>
              <w:spacing w:before="0" w:beforeAutospacing="0" w:after="0" w:afterAutospacing="0" w:line="260" w:lineRule="exact"/>
              <w:rPr>
                <w:rFonts w:cs="宋体"/>
                <w:sz w:val="21"/>
                <w:szCs w:val="21"/>
              </w:rPr>
            </w:pPr>
            <w:r>
              <w:rPr>
                <w:rFonts w:hint="eastAsia" w:cs="宋体"/>
                <w:sz w:val="21"/>
                <w:szCs w:val="21"/>
              </w:rPr>
              <w:t>三、急救措施</w:t>
            </w:r>
          </w:p>
          <w:p>
            <w:pPr>
              <w:pStyle w:val="48"/>
              <w:spacing w:before="0" w:beforeAutospacing="0" w:after="0" w:afterAutospacing="0" w:line="260" w:lineRule="exact"/>
              <w:rPr>
                <w:rFonts w:cs="宋体"/>
                <w:sz w:val="21"/>
                <w:szCs w:val="21"/>
              </w:rPr>
            </w:pPr>
            <w:r>
              <w:rPr>
                <w:rFonts w:hint="eastAsia" w:cs="宋体"/>
                <w:sz w:val="21"/>
                <w:szCs w:val="21"/>
              </w:rPr>
              <w:t>皮肤接触：脱去被污染的衣着，用肥皂水和清水彻底冲洗皮肤。</w:t>
            </w:r>
          </w:p>
          <w:p>
            <w:pPr>
              <w:pStyle w:val="48"/>
              <w:spacing w:before="0" w:beforeAutospacing="0" w:after="0" w:afterAutospacing="0" w:line="260" w:lineRule="exact"/>
              <w:rPr>
                <w:rFonts w:cs="宋体"/>
                <w:sz w:val="21"/>
                <w:szCs w:val="21"/>
              </w:rPr>
            </w:pPr>
            <w:r>
              <w:rPr>
                <w:rFonts w:hint="eastAsia" w:cs="宋体"/>
                <w:sz w:val="21"/>
                <w:szCs w:val="21"/>
              </w:rPr>
              <w:t>眼睛接触：提起眼睑，用流动清水或生理盐水彻底冲洗。就医。</w:t>
            </w:r>
          </w:p>
          <w:p>
            <w:pPr>
              <w:pStyle w:val="48"/>
              <w:spacing w:before="0" w:beforeAutospacing="0" w:after="0" w:afterAutospacing="0" w:line="260" w:lineRule="exact"/>
              <w:rPr>
                <w:rFonts w:cs="宋体"/>
                <w:sz w:val="21"/>
                <w:szCs w:val="21"/>
              </w:rPr>
            </w:pPr>
            <w:r>
              <w:rPr>
                <w:rFonts w:hint="eastAsia" w:cs="宋体"/>
                <w:sz w:val="21"/>
                <w:szCs w:val="21"/>
              </w:rPr>
              <w:t>吸入：迅速脱离现场至空气新鲜处。保持呼吸道通畅。如呼吸困难，给输氧。如呼吸停止，立即进行人工呼吸。就医。</w:t>
            </w:r>
          </w:p>
          <w:p>
            <w:pPr>
              <w:pStyle w:val="48"/>
              <w:spacing w:before="0" w:beforeAutospacing="0" w:after="0" w:afterAutospacing="0" w:line="260" w:lineRule="exact"/>
              <w:rPr>
                <w:rFonts w:cs="宋体"/>
                <w:sz w:val="21"/>
                <w:szCs w:val="21"/>
              </w:rPr>
            </w:pPr>
            <w:r>
              <w:rPr>
                <w:rFonts w:hint="eastAsia" w:cs="宋体"/>
                <w:sz w:val="21"/>
                <w:szCs w:val="21"/>
              </w:rPr>
              <w:t>食入：饮足量温水，催吐，就医。</w:t>
            </w:r>
          </w:p>
          <w:p>
            <w:pPr>
              <w:pStyle w:val="484"/>
              <w:adjustRightInd w:val="0"/>
              <w:snapToGrid w:val="0"/>
              <w:spacing w:before="0" w:beforeLines="0" w:line="260" w:lineRule="exact"/>
              <w:ind w:firstLine="0" w:firstLineChars="0"/>
              <w:rPr>
                <w:rFonts w:hAnsi="宋体" w:cs="宋体"/>
                <w:color w:val="auto"/>
                <w:sz w:val="21"/>
                <w:szCs w:val="21"/>
              </w:rPr>
            </w:pPr>
            <w:r>
              <w:rPr>
                <w:rFonts w:hint="eastAsia" w:hAnsi="宋体" w:cs="宋体"/>
                <w:color w:val="auto"/>
                <w:sz w:val="21"/>
                <w:szCs w:val="21"/>
              </w:rPr>
              <w:t>灭火方法：切断气源。若不能立即切断气源，则不允许熄灭正在燃烧的气体。喷水冷却容器，可能的话将容器从火场移至空旷处。灭火剂：雾状水、泡沫、二氧化碳、干粉。</w:t>
            </w:r>
          </w:p>
        </w:tc>
      </w:tr>
    </w:tbl>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溶剂油的理化性质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3341"/>
        <w:gridCol w:w="1366"/>
        <w:gridCol w:w="3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000" w:type="pct"/>
            <w:gridSpan w:val="4"/>
            <w:vAlign w:val="center"/>
          </w:tcPr>
          <w:p>
            <w:pPr>
              <w:pStyle w:val="48"/>
              <w:adjustRightInd w:val="0"/>
              <w:snapToGrid w:val="0"/>
              <w:spacing w:before="0" w:line="320" w:lineRule="exact"/>
              <w:rPr>
                <w:rFonts w:cs="宋体"/>
                <w:b/>
                <w:sz w:val="21"/>
                <w:szCs w:val="21"/>
              </w:rPr>
            </w:pPr>
            <w:r>
              <w:rPr>
                <w:rFonts w:hint="eastAsia" w:cs="宋体"/>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中文名称</w:t>
            </w:r>
          </w:p>
        </w:tc>
        <w:tc>
          <w:tcPr>
            <w:tcW w:w="4401" w:type="pct"/>
            <w:gridSpan w:val="3"/>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溶剂油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分子式</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混合物</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外观与性状</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无色或淡黄色液体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分子量</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混合物</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闪 点</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&lt;-18.0℃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熔点</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&lt;-72℃ 沸点：20～180℃</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溶解性</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不溶于水，溶于多数有机溶剂。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密度</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相对密度(水=1) 0.63～0.76；相对密度(空气=1) &gt;2.5</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燃烧性</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89" w:hRule="atLeast"/>
          <w:jc w:val="center"/>
        </w:trPr>
        <w:tc>
          <w:tcPr>
            <w:tcW w:w="5000" w:type="pct"/>
            <w:gridSpan w:val="4"/>
          </w:tcPr>
          <w:p>
            <w:pPr>
              <w:pStyle w:val="48"/>
              <w:adjustRightInd w:val="0"/>
              <w:snapToGrid w:val="0"/>
              <w:spacing w:before="0" w:beforeAutospacing="0" w:after="0" w:afterAutospacing="0" w:line="320" w:lineRule="exact"/>
              <w:rPr>
                <w:rFonts w:cs="宋体"/>
                <w:b/>
                <w:sz w:val="21"/>
                <w:szCs w:val="21"/>
              </w:rPr>
            </w:pPr>
            <w:r>
              <w:rPr>
                <w:rFonts w:hint="eastAsia" w:cs="宋体"/>
                <w:b/>
                <w:sz w:val="21"/>
                <w:szCs w:val="21"/>
              </w:rPr>
              <w:t>2.对环境的影响:</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一、健康危害</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侵入途径：吸入、食入、皮肤接触。</w:t>
            </w:r>
            <w:r>
              <w:rPr>
                <w:rFonts w:hint="eastAsia" w:hAnsi="宋体" w:cs="宋体"/>
                <w:color w:val="auto"/>
                <w:sz w:val="21"/>
                <w:szCs w:val="21"/>
              </w:rPr>
              <w:br w:type="textWrapping"/>
            </w:r>
            <w:r>
              <w:rPr>
                <w:rFonts w:hint="eastAsia" w:hAnsi="宋体" w:cs="宋体"/>
                <w:color w:val="auto"/>
                <w:sz w:val="21"/>
                <w:szCs w:val="21"/>
              </w:rPr>
              <w:t xml:space="preserve"> 健康危害：石脑油蒸气可引起眼及上呼吸道刺激症状，如浓度过高，几分钟即可引起呼吸困难、紫绀等缺氧症状。</w:t>
            </w:r>
            <w:r>
              <w:rPr>
                <w:rFonts w:hint="eastAsia" w:hAnsi="宋体" w:cs="宋体"/>
                <w:color w:val="auto"/>
                <w:sz w:val="21"/>
                <w:szCs w:val="21"/>
              </w:rPr>
              <w:br w:type="textWrapping"/>
            </w:r>
            <w:r>
              <w:rPr>
                <w:rFonts w:hint="eastAsia" w:hAnsi="宋体" w:cs="宋体"/>
                <w:color w:val="auto"/>
                <w:sz w:val="21"/>
                <w:szCs w:val="21"/>
              </w:rPr>
              <w:t xml:space="preserve"> 慢性中毒：神经衰弱综合征、植物神经功能症状类似精神分裂症。皮肤损害。</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二、毒理学资料及环境行为</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毒性：属低毒类。</w:t>
            </w:r>
            <w:r>
              <w:rPr>
                <w:rFonts w:hint="eastAsia" w:hAnsi="宋体" w:cs="宋体"/>
                <w:color w:val="auto"/>
                <w:sz w:val="21"/>
                <w:szCs w:val="21"/>
              </w:rPr>
              <w:br w:type="textWrapping"/>
            </w:r>
            <w:r>
              <w:rPr>
                <w:rFonts w:hint="eastAsia" w:hAnsi="宋体" w:cs="宋体"/>
                <w:color w:val="auto"/>
                <w:sz w:val="21"/>
                <w:szCs w:val="21"/>
              </w:rPr>
              <w:t>急性毒性： LC</w:t>
            </w:r>
            <w:r>
              <w:rPr>
                <w:rFonts w:hint="eastAsia" w:hAnsi="宋体" w:cs="宋体"/>
                <w:color w:val="auto"/>
                <w:sz w:val="21"/>
                <w:szCs w:val="21"/>
                <w:vertAlign w:val="subscript"/>
              </w:rPr>
              <w:t>50</w:t>
            </w:r>
            <w:r>
              <w:rPr>
                <w:rFonts w:hint="eastAsia" w:hAnsi="宋体" w:cs="宋体"/>
                <w:color w:val="auto"/>
                <w:sz w:val="21"/>
                <w:szCs w:val="21"/>
              </w:rPr>
              <w:t>16000mg/m</w:t>
            </w:r>
            <w:r>
              <w:rPr>
                <w:rFonts w:hint="eastAsia" w:hAnsi="宋体" w:cs="宋体"/>
                <w:color w:val="auto"/>
                <w:sz w:val="21"/>
                <w:szCs w:val="21"/>
                <w:vertAlign w:val="superscript"/>
              </w:rPr>
              <w:t>3</w:t>
            </w:r>
            <w:r>
              <w:rPr>
                <w:rFonts w:hint="eastAsia" w:hAnsi="宋体" w:cs="宋体"/>
                <w:color w:val="auto"/>
                <w:sz w:val="21"/>
                <w:szCs w:val="21"/>
              </w:rPr>
              <w:t>，4小时(大鼠吸入)</w:t>
            </w:r>
            <w:r>
              <w:rPr>
                <w:rFonts w:hint="eastAsia" w:hAnsi="宋体" w:cs="宋体"/>
                <w:color w:val="auto"/>
                <w:sz w:val="21"/>
                <w:szCs w:val="21"/>
              </w:rPr>
              <w:br w:type="textWrapping"/>
            </w:r>
            <w:r>
              <w:rPr>
                <w:rFonts w:hint="eastAsia" w:hAnsi="宋体" w:cs="宋体"/>
                <w:color w:val="auto"/>
                <w:sz w:val="21"/>
                <w:szCs w:val="21"/>
              </w:rPr>
              <w:t>危险特性：其蒸气与空气可形成爆炸性混合物，遇明火、高热能引起燃烧爆炸。与氧化剂能发生强烈反应。其蒸气比空气重，能在较低处扩散到相当远的地方，遇火源会着火回燃。</w:t>
            </w:r>
            <w:r>
              <w:rPr>
                <w:rFonts w:hint="eastAsia" w:hAnsi="宋体" w:cs="宋体"/>
                <w:color w:val="auto"/>
                <w:sz w:val="21"/>
                <w:szCs w:val="21"/>
              </w:rPr>
              <w:br w:type="textWrapping"/>
            </w:r>
            <w:r>
              <w:rPr>
                <w:rFonts w:hint="eastAsia" w:hAnsi="宋体" w:cs="宋体"/>
                <w:color w:val="auto"/>
                <w:sz w:val="21"/>
                <w:szCs w:val="21"/>
              </w:rPr>
              <w:t>燃烧(分解)产物：一氧化碳、二氧化碳。</w:t>
            </w:r>
          </w:p>
          <w:p>
            <w:pPr>
              <w:pStyle w:val="48"/>
              <w:adjustRightInd w:val="0"/>
              <w:snapToGrid w:val="0"/>
              <w:spacing w:before="0" w:beforeAutospacing="0" w:after="0" w:afterAutospacing="0" w:line="320" w:lineRule="exact"/>
              <w:rPr>
                <w:rFonts w:cs="宋体"/>
                <w:b/>
                <w:sz w:val="21"/>
                <w:szCs w:val="21"/>
              </w:rPr>
            </w:pPr>
            <w:r>
              <w:rPr>
                <w:rFonts w:hint="eastAsia" w:cs="宋体"/>
                <w:b/>
                <w:sz w:val="21"/>
                <w:szCs w:val="21"/>
              </w:rPr>
              <w:t>3.应急处理处置方法:</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一、泄漏应急处理</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迅速撤离泄漏污染区人员至安全区，并进行隔离，严格限制出入。切断火源。应急处理人员戴自给正压式呼吸器，穿防静电工作服。从上风处进入现场。尽可能切断泄漏源。小量泄漏：用砂土或其它不燃材料吸附或吸收。大量泄漏：构筑围堤或挖坑收容。用泡沫覆盖，降低蒸气灾害。喷雾状水或泡沫冷却和稀释蒸汽、保护现场人员。用防爆泵转移至槽车或专用收集器内，回收或运至废物处理场所处置。</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二、急救措施</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皮肤接触：脱去污染的衣着，用肥皂水和清水彻底冲洗皮肤。</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眼睛接触：提起眼睑，用流动清水或生理盐水冲洗。就医。</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吸入：迅速脱离现场至空气新鲜处。保持呼吸道通畅。如呼吸困难，给输氧。如呼吸停止，立即进行人工呼吸。就医。</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食入：用水漱口，给饮牛奶或蛋清。就医。 灭火方法：消防人员必须佩戴正压式空气呼吸器，穿全身防火防毒服，在上风向灭火。喷水保持容器冷却，直至灭火结束。容器发生异常声音，应立即撤离，用水灭火无效。</w:t>
            </w:r>
          </w:p>
          <w:p>
            <w:pPr>
              <w:pStyle w:val="484"/>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灭火剂：泡沫、干粉、二氧化碳、砂土。</w:t>
            </w:r>
          </w:p>
        </w:tc>
      </w:tr>
    </w:tbl>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苯乙烯的理化性质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3093"/>
        <w:gridCol w:w="1476"/>
        <w:gridCol w:w="3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00" w:type="pct"/>
            <w:gridSpan w:val="4"/>
            <w:vAlign w:val="center"/>
          </w:tcPr>
          <w:p>
            <w:pPr>
              <w:pStyle w:val="48"/>
              <w:adjustRightInd w:val="0"/>
              <w:snapToGrid w:val="0"/>
              <w:spacing w:before="0" w:beforeAutospacing="0" w:after="0" w:afterAutospacing="0" w:line="280" w:lineRule="exact"/>
              <w:rPr>
                <w:rFonts w:cs="宋体" w:asciiTheme="minorEastAsia" w:hAnsiTheme="minorEastAsia" w:eastAsiaTheme="minorEastAsia"/>
                <w:b/>
                <w:sz w:val="21"/>
                <w:szCs w:val="21"/>
              </w:rPr>
            </w:pPr>
            <w:r>
              <w:rPr>
                <w:rFonts w:hint="eastAsia" w:cs="宋体" w:asciiTheme="minorEastAsia" w:hAnsiTheme="minorEastAsia" w:eastAsiaTheme="minorEastAsia"/>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中文名称</w:t>
            </w:r>
          </w:p>
        </w:tc>
        <w:tc>
          <w:tcPr>
            <w:tcW w:w="4338"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苯乙烯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分子式</w:t>
            </w:r>
          </w:p>
        </w:tc>
        <w:tc>
          <w:tcPr>
            <w:tcW w:w="158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8</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8</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6</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5</w:t>
            </w:r>
            <w:r>
              <w:rPr>
                <w:rFonts w:hint="eastAsia" w:cs="宋体" w:asciiTheme="minorEastAsia" w:hAnsiTheme="minorEastAsia" w:eastAsiaTheme="minorEastAsia"/>
                <w:sz w:val="21"/>
                <w:szCs w:val="21"/>
              </w:rPr>
              <w:t>CHCH</w:t>
            </w:r>
            <w:r>
              <w:rPr>
                <w:rFonts w:hint="eastAsia" w:cs="宋体" w:asciiTheme="minorEastAsia" w:hAnsiTheme="minorEastAsia" w:eastAsiaTheme="minorEastAsia"/>
                <w:sz w:val="21"/>
                <w:szCs w:val="21"/>
                <w:vertAlign w:val="subscript"/>
              </w:rPr>
              <w:t>2</w:t>
            </w:r>
          </w:p>
        </w:tc>
        <w:tc>
          <w:tcPr>
            <w:tcW w:w="75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外观与性状</w:t>
            </w:r>
          </w:p>
        </w:tc>
        <w:tc>
          <w:tcPr>
            <w:tcW w:w="1995"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无色透明油状液体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分子量</w:t>
            </w:r>
          </w:p>
        </w:tc>
        <w:tc>
          <w:tcPr>
            <w:tcW w:w="158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104.14</w:t>
            </w:r>
          </w:p>
        </w:tc>
        <w:tc>
          <w:tcPr>
            <w:tcW w:w="75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蒸汽压</w:t>
            </w:r>
          </w:p>
        </w:tc>
        <w:tc>
          <w:tcPr>
            <w:tcW w:w="1995"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1.33kPa/30.8℃ 闪点：34.4℃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熔点</w:t>
            </w:r>
          </w:p>
        </w:tc>
        <w:tc>
          <w:tcPr>
            <w:tcW w:w="158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-30.6℃ 沸点：146℃</w:t>
            </w:r>
          </w:p>
        </w:tc>
        <w:tc>
          <w:tcPr>
            <w:tcW w:w="75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溶解性</w:t>
            </w:r>
          </w:p>
        </w:tc>
        <w:tc>
          <w:tcPr>
            <w:tcW w:w="1995"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不溶于水，溶于醇、醚等多数有机溶剂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密度</w:t>
            </w:r>
          </w:p>
        </w:tc>
        <w:tc>
          <w:tcPr>
            <w:tcW w:w="158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相对密度(水=1)0.91；相对密度(空气=1)3.6</w:t>
            </w:r>
          </w:p>
        </w:tc>
        <w:tc>
          <w:tcPr>
            <w:tcW w:w="75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稳定性</w:t>
            </w:r>
          </w:p>
        </w:tc>
        <w:tc>
          <w:tcPr>
            <w:tcW w:w="1995"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危险标记</w:t>
            </w:r>
          </w:p>
        </w:tc>
        <w:tc>
          <w:tcPr>
            <w:tcW w:w="158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7(易燃液体)</w:t>
            </w:r>
          </w:p>
        </w:tc>
        <w:tc>
          <w:tcPr>
            <w:tcW w:w="75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主要用途</w:t>
            </w:r>
          </w:p>
        </w:tc>
        <w:tc>
          <w:tcPr>
            <w:tcW w:w="1995"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用于制聚苯乙烯、合成橡胶、离子交换树脂等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97" w:hRule="atLeast"/>
          <w:jc w:val="center"/>
        </w:trPr>
        <w:tc>
          <w:tcPr>
            <w:tcW w:w="5000" w:type="pct"/>
            <w:gridSpan w:val="4"/>
          </w:tcPr>
          <w:p>
            <w:pPr>
              <w:pStyle w:val="48"/>
              <w:adjustRightInd w:val="0"/>
              <w:snapToGrid w:val="0"/>
              <w:spacing w:before="0" w:beforeAutospacing="0" w:after="0" w:afterAutospacing="0" w:line="280" w:lineRule="exact"/>
              <w:rPr>
                <w:rFonts w:cs="宋体" w:asciiTheme="minorEastAsia" w:hAnsiTheme="minorEastAsia" w:eastAsiaTheme="minorEastAsia"/>
                <w:b/>
                <w:sz w:val="21"/>
                <w:szCs w:val="21"/>
              </w:rPr>
            </w:pPr>
            <w:r>
              <w:rPr>
                <w:rFonts w:hint="eastAsia" w:cs="宋体" w:asciiTheme="minorEastAsia" w:hAnsiTheme="minorEastAsia" w:eastAsiaTheme="minorEastAsia"/>
                <w:b/>
                <w:sz w:val="21"/>
                <w:szCs w:val="21"/>
              </w:rPr>
              <w:t>2.对环境的影响:</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一、健康危害：</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侵入途径：吸入、食入、经皮吸收。</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健康危害：对眼和上呼吸道有刺激和麻醉作用。</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二、毒理学资料及环境行为</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毒性：低毒类。</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急性毒性：LD</w:t>
            </w:r>
            <w:r>
              <w:rPr>
                <w:rFonts w:hint="eastAsia" w:cs="宋体" w:asciiTheme="minorEastAsia" w:hAnsiTheme="minorEastAsia" w:eastAsiaTheme="minorEastAsia"/>
                <w:color w:val="auto"/>
                <w:sz w:val="21"/>
                <w:szCs w:val="21"/>
                <w:vertAlign w:val="subscript"/>
              </w:rPr>
              <w:t>50</w:t>
            </w:r>
            <w:r>
              <w:rPr>
                <w:rFonts w:hint="eastAsia" w:cs="宋体" w:asciiTheme="minorEastAsia" w:hAnsiTheme="minorEastAsia" w:eastAsiaTheme="minorEastAsia"/>
                <w:color w:val="auto"/>
                <w:sz w:val="21"/>
                <w:szCs w:val="21"/>
              </w:rPr>
              <w:t>5000mg/kg(大鼠经口)；LC</w:t>
            </w:r>
            <w:r>
              <w:rPr>
                <w:rFonts w:hint="eastAsia" w:cs="宋体" w:asciiTheme="minorEastAsia" w:hAnsiTheme="minorEastAsia" w:eastAsiaTheme="minorEastAsia"/>
                <w:color w:val="auto"/>
                <w:sz w:val="21"/>
                <w:szCs w:val="21"/>
                <w:vertAlign w:val="subscript"/>
              </w:rPr>
              <w:t>50</w:t>
            </w:r>
            <w:r>
              <w:rPr>
                <w:rFonts w:hint="eastAsia" w:cs="宋体" w:asciiTheme="minorEastAsia" w:hAnsiTheme="minorEastAsia" w:eastAsiaTheme="minorEastAsia"/>
                <w:color w:val="auto"/>
                <w:sz w:val="21"/>
                <w:szCs w:val="21"/>
              </w:rPr>
              <w:t>24000mg/m</w:t>
            </w:r>
            <w:r>
              <w:rPr>
                <w:rFonts w:hint="eastAsia" w:cs="宋体" w:asciiTheme="minorEastAsia" w:hAnsiTheme="minorEastAsia" w:eastAsiaTheme="minorEastAsia"/>
                <w:color w:val="auto"/>
                <w:sz w:val="21"/>
                <w:szCs w:val="21"/>
                <w:vertAlign w:val="superscript"/>
              </w:rPr>
              <w:t>3</w:t>
            </w:r>
            <w:r>
              <w:rPr>
                <w:rFonts w:hint="eastAsia" w:cs="宋体" w:asciiTheme="minorEastAsia" w:hAnsiTheme="minorEastAsia" w:eastAsiaTheme="minorEastAsia"/>
                <w:color w:val="auto"/>
                <w:sz w:val="21"/>
                <w:szCs w:val="21"/>
              </w:rPr>
              <w:t>，4小时(大鼠吸入)；</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危险特性：其蒸气与空气可形成爆炸性混合物。遇明火、高热或与氧化剂接触，有引起燃烧爆炸的危险。遇酸性催化剂如路易斯催化剂、齐格勒催剂、硫酸、氯化铁、氯化铝等都能产生猛烈聚合，放出大量热量。其蒸气比空气重，能在较低处扩散到相当远的地方，遇明火会引着回燃。</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燃烧(分解)产物：一氧化碳、二氧化碳。</w:t>
            </w:r>
          </w:p>
          <w:p>
            <w:pPr>
              <w:pStyle w:val="48"/>
              <w:adjustRightInd w:val="0"/>
              <w:snapToGrid w:val="0"/>
              <w:spacing w:before="0" w:beforeAutospacing="0" w:after="0" w:afterAutospacing="0" w:line="280" w:lineRule="exact"/>
              <w:rPr>
                <w:rFonts w:cs="宋体" w:asciiTheme="minorEastAsia" w:hAnsiTheme="minorEastAsia" w:eastAsiaTheme="minorEastAsia"/>
                <w:b/>
                <w:sz w:val="21"/>
                <w:szCs w:val="21"/>
              </w:rPr>
            </w:pPr>
            <w:r>
              <w:rPr>
                <w:rFonts w:hint="eastAsia" w:cs="宋体" w:asciiTheme="minorEastAsia" w:hAnsiTheme="minorEastAsia" w:eastAsiaTheme="minorEastAsia"/>
                <w:b/>
                <w:sz w:val="21"/>
                <w:szCs w:val="21"/>
              </w:rPr>
              <w:t>3.应急处理处置方法:</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一、泄漏应急处理</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迅速撤离泄漏污染区人员至安全区，并进行隔离，严格限制出入。切断火源。配戴好面具、手套收集漏液，并用砂土或其它惰性材料吸收残液，转移到安全场所。切断被污染水体，用围栏等物限制洒在水面上的苯乙烯扩散。中毒人员转移到空气新鲜的安全地带，脱去污染外衣，冲洗污染皮肤，用大量水冲洗眼睛，淋洗全身，漱口。大量饮水，不能催吐，即送医院。加强现场通风，加快残存苯乙烯的挥发并驱赶蒸气。</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二、防护措施</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呼吸系统防护：空气中浓度超标时，佩戴过滤式防毒面具(半面罩)。紧急事态抢救或撤离时，建议佩戴空气呼吸器。</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眼睛防护：一般不需要特殊防护，高浓度接触时可戴化学安全防护眼镜。</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身体防护：穿防毒物渗透工作服。</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手防护：戴防苯耐油手套。</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其它：工作现场禁止吸烟、进食和饮水。工作毕，淋浴更衣。保持良好的卫生习惯。</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三、急救措施</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皮肤接触：脱去被污染的衣着，用肥皂水和清水彻底冲洗皮肤。</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眼睛接触：立即提起眼睑，用大量流动清水或生理盐水彻底冲洗至少15分钟。就医。</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吸入：迅速脱离现场至空气新鲜处。保持呼吸道通畅。如呼吸困难，给输氧。如呼吸停止，立即进行人工呼吸。就医。</w:t>
            </w:r>
            <w:r>
              <w:rPr>
                <w:rFonts w:hint="eastAsia" w:cs="宋体" w:asciiTheme="minorEastAsia" w:hAnsiTheme="minorEastAsia" w:eastAsiaTheme="minorEastAsia"/>
                <w:color w:val="auto"/>
                <w:sz w:val="21"/>
                <w:szCs w:val="21"/>
              </w:rPr>
              <w:br w:type="textWrapping"/>
            </w:r>
            <w:r>
              <w:rPr>
                <w:rFonts w:hint="eastAsia" w:cs="宋体" w:asciiTheme="minorEastAsia" w:hAnsiTheme="minorEastAsia" w:eastAsiaTheme="minorEastAsia"/>
                <w:color w:val="auto"/>
                <w:sz w:val="21"/>
                <w:szCs w:val="21"/>
              </w:rPr>
              <w:t>食入：饮足量温水，就医。</w:t>
            </w:r>
          </w:p>
          <w:p>
            <w:pPr>
              <w:pStyle w:val="484"/>
              <w:adjustRightInd w:val="0"/>
              <w:snapToGrid w:val="0"/>
              <w:spacing w:before="0" w:beforeLines="0" w:line="280" w:lineRule="exact"/>
              <w:ind w:firstLine="0" w:firstLineChars="0"/>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灭火方法：尽可能将容器从火场移至空旷处。喷水冷却容器，直至灭火结束。灭火剂：泡沫、二氧化碳、干粉、砂土。用水灭火无效。遇大火，消防人员须在有防护掩蔽处操作。</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 xml:space="preserve">  二甲苯的理化性质</w:t>
      </w:r>
    </w:p>
    <w:tbl>
      <w:tblPr>
        <w:tblStyle w:val="54"/>
        <w:tblW w:w="47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1218"/>
        <w:gridCol w:w="1150"/>
        <w:gridCol w:w="1639"/>
        <w:gridCol w:w="278"/>
        <w:gridCol w:w="269"/>
        <w:gridCol w:w="721"/>
        <w:gridCol w:w="914"/>
        <w:gridCol w:w="192"/>
        <w:gridCol w:w="152"/>
        <w:gridCol w:w="1088"/>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394"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标</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识</w:t>
            </w:r>
          </w:p>
        </w:tc>
        <w:tc>
          <w:tcPr>
            <w:tcW w:w="669"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英文名</w:t>
            </w:r>
          </w:p>
        </w:tc>
        <w:tc>
          <w:tcPr>
            <w:tcW w:w="1687"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Xylene</w:t>
            </w:r>
          </w:p>
        </w:tc>
        <w:tc>
          <w:tcPr>
            <w:tcW w:w="550"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分子式</w:t>
            </w:r>
          </w:p>
        </w:tc>
        <w:tc>
          <w:tcPr>
            <w:tcW w:w="613"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C8H10</w:t>
            </w:r>
          </w:p>
        </w:tc>
        <w:tc>
          <w:tcPr>
            <w:tcW w:w="686"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分子量</w:t>
            </w:r>
          </w:p>
        </w:tc>
        <w:tc>
          <w:tcPr>
            <w:tcW w:w="401"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106.17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8"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危险货物编号</w:t>
            </w:r>
          </w:p>
        </w:tc>
        <w:tc>
          <w:tcPr>
            <w:tcW w:w="1055"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33535</w:t>
            </w:r>
          </w:p>
        </w:tc>
        <w:tc>
          <w:tcPr>
            <w:tcW w:w="1163" w:type="pct"/>
            <w:gridSpan w:val="4"/>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UN编号</w:t>
            </w:r>
          </w:p>
        </w:tc>
        <w:tc>
          <w:tcPr>
            <w:tcW w:w="1086"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IMDG规则页码</w:t>
            </w:r>
          </w:p>
        </w:tc>
        <w:tc>
          <w:tcPr>
            <w:tcW w:w="1055"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3292</w:t>
            </w:r>
          </w:p>
        </w:tc>
        <w:tc>
          <w:tcPr>
            <w:tcW w:w="1163" w:type="pct"/>
            <w:gridSpan w:val="4"/>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CAS号</w:t>
            </w:r>
          </w:p>
        </w:tc>
        <w:tc>
          <w:tcPr>
            <w:tcW w:w="1086"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95-47-6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1" w:hRule="atLeast"/>
          <w:jc w:val="center"/>
        </w:trPr>
        <w:tc>
          <w:tcPr>
            <w:tcW w:w="394"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理</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化</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质</w:t>
            </w: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外观与性状</w:t>
            </w:r>
          </w:p>
        </w:tc>
        <w:tc>
          <w:tcPr>
            <w:tcW w:w="3305" w:type="pct"/>
            <w:gridSpan w:val="9"/>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无色透明液体，有类似甲苯的气味。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熔点℃</w:t>
            </w:r>
          </w:p>
        </w:tc>
        <w:tc>
          <w:tcPr>
            <w:tcW w:w="89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-25.5</w:t>
            </w:r>
          </w:p>
        </w:tc>
        <w:tc>
          <w:tcPr>
            <w:tcW w:w="1408" w:type="pct"/>
            <w:gridSpan w:val="6"/>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相对密度(空气=1)</w:t>
            </w:r>
          </w:p>
        </w:tc>
        <w:tc>
          <w:tcPr>
            <w:tcW w:w="1000"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沸点℃</w:t>
            </w:r>
          </w:p>
        </w:tc>
        <w:tc>
          <w:tcPr>
            <w:tcW w:w="89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144.4</w:t>
            </w:r>
          </w:p>
        </w:tc>
        <w:tc>
          <w:tcPr>
            <w:tcW w:w="1408" w:type="pct"/>
            <w:gridSpan w:val="6"/>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临界温度℃</w:t>
            </w:r>
          </w:p>
        </w:tc>
        <w:tc>
          <w:tcPr>
            <w:tcW w:w="1000"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相对密度（水=1）</w:t>
            </w:r>
          </w:p>
        </w:tc>
        <w:tc>
          <w:tcPr>
            <w:tcW w:w="89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0.88</w:t>
            </w:r>
          </w:p>
        </w:tc>
        <w:tc>
          <w:tcPr>
            <w:tcW w:w="1408" w:type="pct"/>
            <w:gridSpan w:val="6"/>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临界压力MPa</w:t>
            </w:r>
          </w:p>
        </w:tc>
        <w:tc>
          <w:tcPr>
            <w:tcW w:w="1000"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饱和蒸汽压KPa</w:t>
            </w:r>
          </w:p>
        </w:tc>
        <w:tc>
          <w:tcPr>
            <w:tcW w:w="898" w:type="pct"/>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1.33(32℃)</w:t>
            </w:r>
          </w:p>
        </w:tc>
        <w:tc>
          <w:tcPr>
            <w:tcW w:w="1408" w:type="pct"/>
            <w:gridSpan w:val="6"/>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燃烧热Kj/mol</w:t>
            </w:r>
          </w:p>
        </w:tc>
        <w:tc>
          <w:tcPr>
            <w:tcW w:w="1000"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4563.3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5"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最小引燃能量mJ</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2"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溶解性</w:t>
            </w:r>
          </w:p>
        </w:tc>
        <w:tc>
          <w:tcPr>
            <w:tcW w:w="3305" w:type="pct"/>
            <w:gridSpan w:val="9"/>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不溶于水，可混溶于乙醇、乙醚、氯仿等多数有机溶剂。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0" w:hRule="atLeast"/>
          <w:jc w:val="center"/>
        </w:trPr>
        <w:tc>
          <w:tcPr>
            <w:tcW w:w="394" w:type="pct"/>
            <w:vMerge w:val="restart"/>
            <w:tcBorders>
              <w:bottom w:val="single" w:color="auto" w:sz="4" w:space="0"/>
            </w:tcBorders>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毒</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与</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害</w:t>
            </w:r>
          </w:p>
        </w:tc>
        <w:tc>
          <w:tcPr>
            <w:tcW w:w="1301" w:type="pct"/>
            <w:gridSpan w:val="2"/>
            <w:tcBorders>
              <w:bottom w:val="single" w:color="auto" w:sz="4" w:space="0"/>
            </w:tcBorders>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接触限值</w:t>
            </w:r>
          </w:p>
        </w:tc>
        <w:tc>
          <w:tcPr>
            <w:tcW w:w="3305" w:type="pct"/>
            <w:gridSpan w:val="9"/>
            <w:tcBorders>
              <w:bottom w:val="single" w:color="auto" w:sz="4" w:space="0"/>
            </w:tcBorders>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中国MAC：100mg／m3</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苏联MAC：50mg／m3</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美国TWA：OSHA 100ppm，434mg／m3；ACGIH 100ppm，434mg／m3</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美国STEL：ACGIH 150ppm，651mg／m3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6"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侵入途径</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4"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健康危害</w:t>
            </w:r>
          </w:p>
        </w:tc>
        <w:tc>
          <w:tcPr>
            <w:tcW w:w="3305" w:type="pct"/>
            <w:gridSpan w:val="9"/>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对皮肤、粘膜有刺激作用，对中枢神经系统有麻醉作用；长期作用可影响肝、肾功能。急性中毒：病人有咳嗽、流泪、结膜充血等重症者有幻觉、神志不清等，有时有癔病样发作。慢性中毒：病人有神经衰弱综合征的表现，女工有月经异常，工人常发生皮肤干燥、皲裂、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394"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烧</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炸</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险</w:t>
            </w: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燃烧性</w:t>
            </w:r>
          </w:p>
        </w:tc>
        <w:tc>
          <w:tcPr>
            <w:tcW w:w="1207"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易燃</w:t>
            </w:r>
          </w:p>
        </w:tc>
        <w:tc>
          <w:tcPr>
            <w:tcW w:w="9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闪点℃</w:t>
            </w:r>
          </w:p>
        </w:tc>
        <w:tc>
          <w:tcPr>
            <w:tcW w:w="1198" w:type="pct"/>
            <w:gridSpan w:val="4"/>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自燃温度℃</w:t>
            </w:r>
          </w:p>
        </w:tc>
        <w:tc>
          <w:tcPr>
            <w:tcW w:w="1207" w:type="pct"/>
            <w:gridSpan w:val="3"/>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463</w:t>
            </w:r>
          </w:p>
        </w:tc>
        <w:tc>
          <w:tcPr>
            <w:tcW w:w="9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爆炸极限%</w:t>
            </w:r>
          </w:p>
        </w:tc>
        <w:tc>
          <w:tcPr>
            <w:tcW w:w="1198" w:type="pct"/>
            <w:gridSpan w:val="4"/>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下限1.0，上限7.0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2" w:hRule="atLeas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危险特性</w:t>
            </w:r>
          </w:p>
        </w:tc>
        <w:tc>
          <w:tcPr>
            <w:tcW w:w="3305" w:type="pct"/>
            <w:gridSpan w:val="9"/>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其蒸汽与空气形成爆炸性混合物，遇明火、高热能引起燃烧爆炸。与氧化剂能发生强烈反应。其蒸汽比空气重，能在较低处扩散到相当远的地方，遇火源引着回燃。若遇高热，容器内压增大，有开裂和爆炸的危险。流速过快，容易产生和积聚静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燃烧分解产物</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稳定性</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聚合危害</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禁忌物</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394" w:type="pct"/>
            <w:vMerge w:val="continue"/>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3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灭火方法</w:t>
            </w:r>
          </w:p>
        </w:tc>
        <w:tc>
          <w:tcPr>
            <w:tcW w:w="3305" w:type="pct"/>
            <w:gridSpan w:val="9"/>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泡沫、二氧化碳、干粉、砂土，用水灭火无效。</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1,3,5-三甲基苯的理化性质</w:t>
      </w:r>
    </w:p>
    <w:tbl>
      <w:tblPr>
        <w:tblStyle w:val="54"/>
        <w:tblW w:w="4928"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504"/>
        <w:gridCol w:w="1971"/>
        <w:gridCol w:w="959"/>
        <w:gridCol w:w="271"/>
        <w:gridCol w:w="382"/>
        <w:gridCol w:w="1107"/>
        <w:gridCol w:w="342"/>
        <w:gridCol w:w="765"/>
        <w:gridCol w:w="254"/>
        <w:gridCol w:w="1468"/>
        <w:gridCol w:w="765"/>
        <w:gridCol w:w="818"/>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标识</w:t>
            </w:r>
          </w:p>
        </w:tc>
        <w:tc>
          <w:tcPr>
            <w:tcW w:w="3149" w:type="pct"/>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中文名：均三甲苯（</w:t>
            </w:r>
            <w:r>
              <w:rPr>
                <w:rFonts w:hint="eastAsia" w:cs="宋体" w:asciiTheme="minorEastAsia" w:hAnsiTheme="minorEastAsia" w:eastAsiaTheme="minorEastAsia"/>
                <w:sz w:val="21"/>
                <w:szCs w:val="21"/>
              </w:rPr>
              <w:t>1,3,5-三甲基苯</w:t>
            </w:r>
            <w:r>
              <w:rPr>
                <w:rFonts w:hint="eastAsia" w:cs="宋体" w:asciiTheme="minorEastAsia" w:hAnsiTheme="minorEastAsia" w:eastAsiaTheme="minorEastAsia"/>
                <w:spacing w:val="10"/>
                <w:sz w:val="21"/>
                <w:szCs w:val="21"/>
              </w:rPr>
              <w:t>；</w:t>
            </w:r>
            <w:r>
              <w:rPr>
                <w:rFonts w:hint="eastAsia" w:cs="宋体" w:asciiTheme="minorEastAsia" w:hAnsiTheme="minorEastAsia" w:eastAsiaTheme="minorEastAsia"/>
                <w:sz w:val="21"/>
                <w:szCs w:val="21"/>
              </w:rPr>
              <w:t>均三甲基苯）</w:t>
            </w:r>
          </w:p>
        </w:tc>
        <w:tc>
          <w:tcPr>
            <w:tcW w:w="1588"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危险货物编号：</w:t>
            </w:r>
            <w:r>
              <w:rPr>
                <w:rFonts w:hint="eastAsia" w:cs="宋体" w:asciiTheme="minorEastAsia" w:hAnsiTheme="minorEastAsia" w:eastAsiaTheme="minorEastAsia"/>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3149" w:type="pct"/>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英文名：</w:t>
            </w:r>
            <w:r>
              <w:rPr>
                <w:rFonts w:hint="eastAsia" w:cs="宋体" w:asciiTheme="minorEastAsia" w:hAnsiTheme="minorEastAsia" w:eastAsiaTheme="minorEastAsia"/>
                <w:sz w:val="21"/>
                <w:szCs w:val="21"/>
              </w:rPr>
              <w:t>1,2,3-trimethylbenzene</w:t>
            </w:r>
          </w:p>
        </w:tc>
        <w:tc>
          <w:tcPr>
            <w:tcW w:w="1588"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UN编号：2325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66"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分子式：</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9</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12</w:t>
            </w:r>
          </w:p>
        </w:tc>
        <w:tc>
          <w:tcPr>
            <w:tcW w:w="1483" w:type="pct"/>
            <w:gridSpan w:val="5"/>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分子量：120.19</w:t>
            </w:r>
          </w:p>
        </w:tc>
        <w:tc>
          <w:tcPr>
            <w:tcW w:w="1588"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CAS号：108-67-8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理化性质</w:t>
            </w: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外观与性状</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熔点（℃）</w:t>
            </w:r>
          </w:p>
        </w:tc>
        <w:tc>
          <w:tcPr>
            <w:tcW w:w="499"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-25.5</w:t>
            </w:r>
          </w:p>
        </w:tc>
        <w:tc>
          <w:tcPr>
            <w:tcW w:w="1094"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相对密度(水=1)</w:t>
            </w:r>
          </w:p>
        </w:tc>
        <w:tc>
          <w:tcPr>
            <w:tcW w:w="530"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0.89</w:t>
            </w:r>
          </w:p>
        </w:tc>
        <w:tc>
          <w:tcPr>
            <w:tcW w:w="1162"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相对密度(空气=1)</w:t>
            </w:r>
          </w:p>
        </w:tc>
        <w:tc>
          <w:tcPr>
            <w:tcW w:w="4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4.15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沸点（℃）</w:t>
            </w:r>
          </w:p>
        </w:tc>
        <w:tc>
          <w:tcPr>
            <w:tcW w:w="499"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176.1</w:t>
            </w:r>
          </w:p>
        </w:tc>
        <w:tc>
          <w:tcPr>
            <w:tcW w:w="1624" w:type="pct"/>
            <w:gridSpan w:val="6"/>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饱和蒸气压（kPa）</w:t>
            </w:r>
          </w:p>
        </w:tc>
        <w:tc>
          <w:tcPr>
            <w:tcW w:w="1588"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溶解性</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不溶于水，可混溶于乙醇、乙醚、苯、酮、四氯化碳、石油醚等。</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63"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毒性及健康危害</w:t>
            </w: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侵入途径</w:t>
            </w:r>
          </w:p>
        </w:tc>
        <w:tc>
          <w:tcPr>
            <w:tcW w:w="3711" w:type="pct"/>
            <w:gridSpan w:val="10"/>
            <w:tcBorders>
              <w:top w:val="single" w:color="auto" w:sz="6" w:space="0"/>
              <w:left w:val="single" w:color="auto" w:sz="6" w:space="0"/>
              <w:bottom w:val="single" w:color="auto" w:sz="6" w:space="0"/>
              <w:right w:val="single" w:color="auto" w:sz="4"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68"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pacing w:val="10"/>
                <w:sz w:val="21"/>
                <w:szCs w:val="21"/>
              </w:rPr>
              <w:t>LD</w:t>
            </w:r>
            <w:r>
              <w:rPr>
                <w:rFonts w:hint="eastAsia" w:cs="宋体" w:asciiTheme="minorEastAsia" w:hAnsiTheme="minorEastAsia" w:eastAsiaTheme="minorEastAsia"/>
                <w:spacing w:val="10"/>
                <w:sz w:val="21"/>
                <w:szCs w:val="21"/>
                <w:vertAlign w:val="subscript"/>
              </w:rPr>
              <w:t>50</w:t>
            </w:r>
            <w:r>
              <w:rPr>
                <w:rFonts w:hint="eastAsia" w:cs="宋体" w:asciiTheme="minorEastAsia" w:hAnsiTheme="minorEastAsia" w:eastAsiaTheme="minorEastAsia"/>
                <w:spacing w:val="10"/>
                <w:sz w:val="21"/>
                <w:szCs w:val="21"/>
              </w:rPr>
              <w:t>：</w:t>
            </w:r>
          </w:p>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LC</w:t>
            </w:r>
            <w:r>
              <w:rPr>
                <w:rFonts w:hint="eastAsia" w:cs="宋体" w:asciiTheme="minorEastAsia" w:hAnsiTheme="minorEastAsia" w:eastAsiaTheme="minorEastAsia"/>
                <w:spacing w:val="10"/>
                <w:sz w:val="21"/>
                <w:szCs w:val="21"/>
                <w:vertAlign w:val="subscript"/>
              </w:rPr>
              <w:t>50</w:t>
            </w: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03"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4"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3711" w:type="pct"/>
            <w:gridSpan w:val="10"/>
            <w:tcBorders>
              <w:top w:val="single" w:color="auto" w:sz="6" w:space="0"/>
              <w:left w:val="single" w:color="auto" w:sz="6" w:space="0"/>
              <w:bottom w:val="single" w:color="auto" w:sz="4"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蒸气或雾对眼、粘膜和上呼吸道有刺激性。接触后可引起头痛、头晕、恶心、麻醉作用。可引起皮炎。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4"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急救方法</w:t>
            </w:r>
          </w:p>
        </w:tc>
        <w:tc>
          <w:tcPr>
            <w:tcW w:w="3711" w:type="pct"/>
            <w:gridSpan w:val="10"/>
            <w:tcBorders>
              <w:top w:val="single" w:color="auto" w:sz="4"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皮肤接触：脱去被污染的衣着，用肥皂水和清水彻底冲洗皮肤。眼睛接触：提起眼睑，用流动清水或生理盐水冲洗。就医。吸入：迅速脱离现场至空气新鲜处。保持呼吸道通畅。如呼吸困难，给输氧。如呼吸停止，立即进行人工呼吸。就医。食入：饮足量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0" w:hRule="atLeast"/>
          <w:jc w:val="center"/>
        </w:trPr>
        <w:tc>
          <w:tcPr>
            <w:tcW w:w="263"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燃烧爆炸危险性</w:t>
            </w: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燃烧性</w:t>
            </w:r>
          </w:p>
        </w:tc>
        <w:tc>
          <w:tcPr>
            <w:tcW w:w="839"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易燃</w:t>
            </w:r>
          </w:p>
        </w:tc>
        <w:tc>
          <w:tcPr>
            <w:tcW w:w="1152"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燃烧分解物</w:t>
            </w:r>
          </w:p>
        </w:tc>
        <w:tc>
          <w:tcPr>
            <w:tcW w:w="1720"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6"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闪点(℃)</w:t>
            </w:r>
          </w:p>
        </w:tc>
        <w:tc>
          <w:tcPr>
            <w:tcW w:w="839"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48</w:t>
            </w:r>
          </w:p>
        </w:tc>
        <w:tc>
          <w:tcPr>
            <w:tcW w:w="1152"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爆炸上限（v%）</w:t>
            </w:r>
          </w:p>
        </w:tc>
        <w:tc>
          <w:tcPr>
            <w:tcW w:w="1720"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引燃温度(℃)</w:t>
            </w:r>
          </w:p>
        </w:tc>
        <w:tc>
          <w:tcPr>
            <w:tcW w:w="839"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470</w:t>
            </w:r>
          </w:p>
        </w:tc>
        <w:tc>
          <w:tcPr>
            <w:tcW w:w="1152"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爆炸下限（v%）</w:t>
            </w:r>
          </w:p>
        </w:tc>
        <w:tc>
          <w:tcPr>
            <w:tcW w:w="1720"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建规火险分级</w:t>
            </w:r>
          </w:p>
        </w:tc>
        <w:tc>
          <w:tcPr>
            <w:tcW w:w="839"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乙</w:t>
            </w:r>
          </w:p>
        </w:tc>
        <w:tc>
          <w:tcPr>
            <w:tcW w:w="57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稳定性</w:t>
            </w:r>
          </w:p>
        </w:tc>
        <w:tc>
          <w:tcPr>
            <w:tcW w:w="576"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w:t>
            </w:r>
          </w:p>
        </w:tc>
        <w:tc>
          <w:tcPr>
            <w:tcW w:w="896"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聚合危害</w:t>
            </w:r>
          </w:p>
        </w:tc>
        <w:tc>
          <w:tcPr>
            <w:tcW w:w="824"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禁忌物</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48"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危险特性</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其蒸气与空气可形成爆炸性混合物，遇明火、高热能引起燃烧爆炸。与氧化剂可发生反应。流速过快，容易产生和积聚静电。其蒸气比空气重，能在较低处扩散到相当远的地方，遇火源会着火回燃。若遇高热，容器内压增大，有开裂和爆炸的危险。</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533"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储运条件</w:t>
            </w:r>
          </w:p>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与泄漏处理</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b/>
                <w:spacing w:val="10"/>
                <w:sz w:val="21"/>
                <w:szCs w:val="21"/>
              </w:rPr>
              <w:t>储运条件</w:t>
            </w:r>
            <w:r>
              <w:rPr>
                <w:rFonts w:hint="eastAsia" w:cs="宋体" w:asciiTheme="minorEastAsia" w:hAnsiTheme="minorEastAsia" w:eastAsiaTheme="minorEastAsia"/>
                <w:spacing w:val="10"/>
                <w:sz w:val="21"/>
                <w:szCs w:val="21"/>
              </w:rPr>
              <w:t>：储存于阴凉、通风的仓间内，远离火种、热源。保持容器密封；与氧化剂分开存放。搬运时应轻装轻卸，防止包装和容器损坏。</w:t>
            </w:r>
            <w:r>
              <w:rPr>
                <w:rFonts w:hint="eastAsia" w:cs="宋体" w:asciiTheme="minorEastAsia" w:hAnsiTheme="minorEastAsia" w:eastAsiaTheme="minorEastAsia"/>
                <w:sz w:val="21"/>
                <w:szCs w:val="21"/>
              </w:rPr>
              <w:t>运输时所用的槽（罐）车应有接地链，槽内可设孔隔板以减少震荡产生静电。严禁与氧化剂、食用化学品等混装混运。装运该物品的车辆排气管必须配备阻火装置，禁止使用易产生火花的机械设备和工具装卸。公路运输时要按规定路线行驶。</w:t>
            </w:r>
          </w:p>
          <w:p>
            <w:pPr>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b/>
                <w:spacing w:val="10"/>
                <w:sz w:val="21"/>
                <w:szCs w:val="21"/>
              </w:rPr>
              <w:t>泄漏处理</w:t>
            </w:r>
            <w:r>
              <w:rPr>
                <w:rFonts w:hint="eastAsia" w:cs="宋体" w:asciiTheme="minorEastAsia" w:hAnsiTheme="minorEastAsia" w:eastAsiaTheme="minorEastAsia"/>
                <w:spacing w:val="10"/>
                <w:sz w:val="21"/>
                <w:szCs w:val="21"/>
              </w:rPr>
              <w:t>：</w:t>
            </w:r>
            <w:r>
              <w:rPr>
                <w:rFonts w:hint="eastAsia" w:cs="宋体" w:asciiTheme="minorEastAsia" w:hAnsiTheme="minorEastAsia" w:eastAsiaTheme="minorEastAsia"/>
                <w:sz w:val="21"/>
                <w:szCs w:val="21"/>
              </w:rPr>
              <w:t>迅速撤离泄漏污染区人员至安全区，并进行隔离，严格限制出入。切断火源。建议应急处理人员戴自给正压式呼吸器，穿消防防护服。尽可能切断泄漏源，防止进入下水道、排洪沟等限制性空间。小量泄漏：用砂土或其它不燃性材料吸附或吸收。也可以用大量水刷洗，洗液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437" w:hRule="atLeast"/>
          <w:jc w:val="center"/>
        </w:trPr>
        <w:tc>
          <w:tcPr>
            <w:tcW w:w="263"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026" w:type="pc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灭火方法</w:t>
            </w:r>
          </w:p>
        </w:tc>
        <w:tc>
          <w:tcPr>
            <w:tcW w:w="3711"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1,2,3-三甲基苯的理化性质</w:t>
      </w:r>
    </w:p>
    <w:tbl>
      <w:tblPr>
        <w:tblStyle w:val="54"/>
        <w:tblW w:w="4855"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6"/>
        <w:gridCol w:w="1730"/>
        <w:gridCol w:w="1375"/>
        <w:gridCol w:w="382"/>
        <w:gridCol w:w="756"/>
        <w:gridCol w:w="409"/>
        <w:gridCol w:w="1383"/>
        <w:gridCol w:w="720"/>
        <w:gridCol w:w="773"/>
        <w:gridCol w:w="1459"/>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标识</w:t>
            </w:r>
          </w:p>
        </w:tc>
        <w:tc>
          <w:tcPr>
            <w:tcW w:w="6755"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中文名：1,2,3－三甲基苯；连三甲基苯</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危险货物编号：</w:t>
            </w:r>
            <w:r>
              <w:rPr>
                <w:rFonts w:hint="eastAsia" w:cs="宋体" w:asciiTheme="minorEastAsia" w:hAnsiTheme="minorEastAsia" w:eastAsiaTheme="minorEastAsia"/>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6755"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英文名：</w:t>
            </w:r>
            <w:r>
              <w:rPr>
                <w:rFonts w:hint="eastAsia" w:cs="宋体" w:asciiTheme="minorEastAsia" w:hAnsiTheme="minorEastAsia" w:eastAsiaTheme="minorEastAsia"/>
                <w:sz w:val="21"/>
                <w:szCs w:val="21"/>
              </w:rPr>
              <w:t>1,2,3-Trimethylbenzene</w:t>
            </w:r>
            <w:r>
              <w:rPr>
                <w:rFonts w:hint="eastAsia" w:cs="宋体" w:asciiTheme="minorEastAsia" w:hAnsiTheme="minorEastAsia" w:eastAsiaTheme="minorEastAsia"/>
                <w:spacing w:val="10"/>
                <w:sz w:val="21"/>
                <w:szCs w:val="21"/>
              </w:rPr>
              <w:t>；Vicinal t</w:t>
            </w:r>
            <w:r>
              <w:rPr>
                <w:rFonts w:hint="eastAsia" w:cs="宋体" w:asciiTheme="minorEastAsia" w:hAnsiTheme="minorEastAsia" w:eastAsiaTheme="minorEastAsia"/>
                <w:sz w:val="21"/>
                <w:szCs w:val="21"/>
              </w:rPr>
              <w:t>rimethylbenzene</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UN编号：</w:t>
            </w: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310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分子式：</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9</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12</w:t>
            </w:r>
          </w:p>
        </w:tc>
        <w:tc>
          <w:tcPr>
            <w:tcW w:w="3650"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分子量：</w:t>
            </w:r>
            <w:r>
              <w:rPr>
                <w:rFonts w:hint="eastAsia" w:cs="宋体" w:asciiTheme="minorEastAsia" w:hAnsiTheme="minorEastAsia" w:eastAsiaTheme="minorEastAsia"/>
                <w:sz w:val="21"/>
                <w:szCs w:val="21"/>
              </w:rPr>
              <w:t>120.19</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CAS号：</w:t>
            </w:r>
            <w:r>
              <w:rPr>
                <w:rFonts w:hint="eastAsia" w:cs="宋体" w:asciiTheme="minorEastAsia" w:hAnsiTheme="minorEastAsia" w:eastAsiaTheme="minorEastAsia"/>
                <w:sz w:val="21"/>
                <w:szCs w:val="21"/>
              </w:rPr>
              <w:t>526-73-8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理化性质</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外观与性状</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熔点（℃）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b/>
                <w:spacing w:val="10"/>
                <w:sz w:val="21"/>
                <w:szCs w:val="21"/>
              </w:rPr>
            </w:pPr>
            <w:r>
              <w:rPr>
                <w:rFonts w:hint="eastAsia" w:cs="宋体" w:asciiTheme="minorEastAsia" w:hAnsiTheme="minorEastAsia" w:eastAsiaTheme="minorEastAsia"/>
                <w:sz w:val="21"/>
                <w:szCs w:val="21"/>
              </w:rPr>
              <w:t>-25.5</w:t>
            </w:r>
          </w:p>
        </w:tc>
        <w:tc>
          <w:tcPr>
            <w:tcW w:w="2512"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相对密度(水=1)</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沸点（℃）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176.1</w:t>
            </w:r>
          </w:p>
        </w:tc>
        <w:tc>
          <w:tcPr>
            <w:tcW w:w="2512"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饱和蒸气压（kPa）</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溶解性</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不溶于水，可混溶于乙醇、乙醚、苯、酮、四氯化碳、石油醚等。</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侵入途径</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蒸气或雾对眼、粘膜和上呼吸道有刺激性。接触后可引起头痛、头晕、恶心、麻醉作用。可引起皮炎。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燃烧爆炸危险性</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易燃</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燃烧分解物</w:t>
            </w:r>
          </w:p>
        </w:tc>
        <w:tc>
          <w:tcPr>
            <w:tcW w:w="2952"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闪点(℃)</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48</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爆炸上限%（v%）：</w:t>
            </w:r>
          </w:p>
        </w:tc>
        <w:tc>
          <w:tcPr>
            <w:tcW w:w="2952"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自燃温度(℃)</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470</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爆炸下限%（v%）：</w:t>
            </w:r>
          </w:p>
        </w:tc>
        <w:tc>
          <w:tcPr>
            <w:tcW w:w="2952"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8"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危险特性</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易燃，遇明火、高热或与氧化剂接触，有引起燃烧爆炸的危险。</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建规火险分级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乙</w:t>
            </w:r>
          </w:p>
        </w:tc>
        <w:tc>
          <w:tcPr>
            <w:tcW w:w="116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稳定性</w:t>
            </w:r>
          </w:p>
        </w:tc>
        <w:tc>
          <w:tcPr>
            <w:tcW w:w="1383"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w:t>
            </w:r>
          </w:p>
        </w:tc>
        <w:tc>
          <w:tcPr>
            <w:tcW w:w="149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聚合危害</w:t>
            </w:r>
          </w:p>
        </w:tc>
        <w:tc>
          <w:tcPr>
            <w:tcW w:w="1459"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禁忌物</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灭火方法</w:t>
            </w:r>
          </w:p>
        </w:tc>
        <w:tc>
          <w:tcPr>
            <w:tcW w:w="7257" w:type="dxa"/>
            <w:gridSpan w:val="8"/>
            <w:tcBorders>
              <w:top w:val="single" w:color="auto" w:sz="6" w:space="0"/>
              <w:left w:val="single" w:color="auto" w:sz="6" w:space="0"/>
              <w:bottom w:val="single" w:color="auto" w:sz="6" w:space="0"/>
              <w:right w:val="single" w:color="auto" w:sz="6" w:space="0"/>
            </w:tcBorders>
            <w:vAlign w:val="center"/>
          </w:tcPr>
          <w:p>
            <w:pPr>
              <w:pStyle w:val="399"/>
              <w:widowControl w:val="0"/>
              <w:pBdr>
                <w:bottom w:val="none" w:color="auto" w:sz="0" w:space="0"/>
                <w:right w:val="none" w:color="auto" w:sz="0" w:space="0"/>
              </w:pBdr>
              <w:spacing w:before="0" w:beforeAutospacing="0" w:after="0" w:afterAutospacing="0" w:line="280" w:lineRule="exact"/>
              <w:ind w:firstLine="0" w:firstLineChars="0"/>
              <w:rPr>
                <w:rFonts w:cs="宋体" w:asciiTheme="minorEastAsia" w:hAnsiTheme="minorEastAsia" w:eastAsiaTheme="minorEastAsia"/>
                <w:spacing w:val="10"/>
                <w:kern w:val="2"/>
                <w:sz w:val="21"/>
              </w:rPr>
            </w:pPr>
            <w:r>
              <w:rPr>
                <w:rFonts w:hint="eastAsia" w:cs="宋体" w:asciiTheme="minorEastAsia" w:hAnsiTheme="minorEastAsia" w:eastAsiaTheme="minorEastAsia"/>
                <w:sz w:val="21"/>
              </w:rPr>
              <w:t>喷水冷却容器，可能的话将容器从火场移至空旷处。灭火剂：泡沫、二氧化碳、干粉、砂土。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317"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pacing w:val="10"/>
                <w:kern w:val="2"/>
                <w:sz w:val="21"/>
                <w:szCs w:val="21"/>
              </w:rPr>
            </w:pPr>
            <w:r>
              <w:rPr>
                <w:rFonts w:hint="eastAsia" w:cs="宋体" w:asciiTheme="minorEastAsia" w:hAnsiTheme="minorEastAsia" w:eastAsiaTheme="minorEastAsia"/>
                <w:color w:val="auto"/>
                <w:kern w:val="2"/>
                <w:sz w:val="21"/>
                <w:szCs w:val="21"/>
              </w:rPr>
              <w:t>急救措施</w:t>
            </w:r>
          </w:p>
        </w:tc>
        <w:tc>
          <w:tcPr>
            <w:tcW w:w="8987"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①皮肤接触：脱去污染的衣着，用流动清水冲洗。②眼睛接触：提起眼睑，用流动清水或生理盐水冲洗。就医。③吸入：迅速脱离现场至空气新鲜处。保持呼吸道通畅。如呼吸困难，给输氧。如呼吸停止，立即进行人工呼吸。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588"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kern w:val="2"/>
                <w:sz w:val="21"/>
                <w:szCs w:val="21"/>
              </w:rPr>
            </w:pPr>
            <w:r>
              <w:rPr>
                <w:rFonts w:hint="eastAsia" w:cs="宋体" w:asciiTheme="minorEastAsia" w:hAnsiTheme="minorEastAsia" w:eastAsiaTheme="minorEastAsia"/>
                <w:color w:val="auto"/>
                <w:sz w:val="21"/>
                <w:szCs w:val="21"/>
              </w:rPr>
              <w:t>泄漏处置</w:t>
            </w:r>
          </w:p>
        </w:tc>
        <w:tc>
          <w:tcPr>
            <w:tcW w:w="8987"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22"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储运注意事项</w:t>
            </w:r>
          </w:p>
        </w:tc>
        <w:tc>
          <w:tcPr>
            <w:tcW w:w="8987"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①储存注意事项：储存于阴凉、通风的库房。远离火种、热源。保持容器密封。应与氧化剂分开存放，切忌混储。采用防爆型照明、通风设施。禁止使用易产生火花的机械设备和工具。储区应备有泄漏应急处理设备和合适的收容材料。</w:t>
            </w:r>
          </w:p>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②运输注意事项：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1,2,4-三甲基苯的理化性质</w:t>
      </w:r>
    </w:p>
    <w:tbl>
      <w:tblPr>
        <w:tblStyle w:val="54"/>
        <w:tblW w:w="4855"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6"/>
        <w:gridCol w:w="1730"/>
        <w:gridCol w:w="1375"/>
        <w:gridCol w:w="382"/>
        <w:gridCol w:w="756"/>
        <w:gridCol w:w="409"/>
        <w:gridCol w:w="1383"/>
        <w:gridCol w:w="338"/>
        <w:gridCol w:w="382"/>
        <w:gridCol w:w="773"/>
        <w:gridCol w:w="1459"/>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标识</w:t>
            </w:r>
          </w:p>
        </w:tc>
        <w:tc>
          <w:tcPr>
            <w:tcW w:w="6373"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中文名：1,2,4－三甲基苯；假枯烯</w:t>
            </w:r>
          </w:p>
        </w:tc>
        <w:tc>
          <w:tcPr>
            <w:tcW w:w="261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危险货物编号：</w:t>
            </w:r>
            <w:r>
              <w:rPr>
                <w:rFonts w:hint="eastAsia" w:cs="宋体" w:asciiTheme="minorEastAsia" w:hAnsiTheme="minorEastAsia" w:eastAsiaTheme="minorEastAsia"/>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6373"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英文名：</w:t>
            </w:r>
            <w:r>
              <w:rPr>
                <w:rFonts w:hint="eastAsia" w:cs="宋体" w:asciiTheme="minorEastAsia" w:hAnsiTheme="minorEastAsia" w:eastAsiaTheme="minorEastAsia"/>
                <w:sz w:val="21"/>
                <w:szCs w:val="21"/>
              </w:rPr>
              <w:t>1,2,4-Trimethylbenzene</w:t>
            </w:r>
            <w:r>
              <w:rPr>
                <w:rFonts w:hint="eastAsia" w:cs="宋体" w:asciiTheme="minorEastAsia" w:hAnsiTheme="minorEastAsia" w:eastAsiaTheme="minorEastAsia"/>
                <w:spacing w:val="10"/>
                <w:sz w:val="21"/>
                <w:szCs w:val="21"/>
              </w:rPr>
              <w:t>；Pseudocumene</w:t>
            </w:r>
          </w:p>
        </w:tc>
        <w:tc>
          <w:tcPr>
            <w:tcW w:w="261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UN编号：</w:t>
            </w: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310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分子式：</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9</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12</w:t>
            </w:r>
          </w:p>
        </w:tc>
        <w:tc>
          <w:tcPr>
            <w:tcW w:w="3268"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分子量：</w:t>
            </w:r>
            <w:r>
              <w:rPr>
                <w:rFonts w:hint="eastAsia" w:cs="宋体" w:asciiTheme="minorEastAsia" w:hAnsiTheme="minorEastAsia" w:eastAsiaTheme="minorEastAsia"/>
                <w:sz w:val="21"/>
                <w:szCs w:val="21"/>
              </w:rPr>
              <w:t>120.19</w:t>
            </w:r>
          </w:p>
        </w:tc>
        <w:tc>
          <w:tcPr>
            <w:tcW w:w="261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CAS号：</w:t>
            </w:r>
            <w:r>
              <w:rPr>
                <w:rFonts w:hint="eastAsia" w:cs="宋体" w:asciiTheme="minorEastAsia" w:hAnsiTheme="minorEastAsia" w:eastAsiaTheme="minorEastAsia"/>
                <w:sz w:val="21"/>
                <w:szCs w:val="21"/>
              </w:rPr>
              <w:t>95-63-6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理化性质</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外观与性状</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熔点（℃）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b/>
                <w:spacing w:val="10"/>
                <w:sz w:val="21"/>
                <w:szCs w:val="21"/>
              </w:rPr>
            </w:pPr>
            <w:r>
              <w:rPr>
                <w:rFonts w:hint="eastAsia" w:cs="宋体" w:asciiTheme="minorEastAsia" w:hAnsiTheme="minorEastAsia" w:eastAsiaTheme="minorEastAsia"/>
                <w:sz w:val="21"/>
                <w:szCs w:val="21"/>
              </w:rPr>
              <w:t>-61</w:t>
            </w:r>
          </w:p>
        </w:tc>
        <w:tc>
          <w:tcPr>
            <w:tcW w:w="251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相对密度(水=1)</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0.88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沸点（℃）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168.9</w:t>
            </w:r>
          </w:p>
        </w:tc>
        <w:tc>
          <w:tcPr>
            <w:tcW w:w="251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饱和蒸气压（kPa）</w:t>
            </w:r>
          </w:p>
        </w:tc>
        <w:tc>
          <w:tcPr>
            <w:tcW w:w="2232"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1.33(51.6℃)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溶解性</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不溶于水，可混溶于乙醇、乙醚、苯等多数有机溶剂。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毒性及健康危害</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侵入途径</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LC</w:t>
            </w:r>
            <w:r>
              <w:rPr>
                <w:rFonts w:hint="eastAsia" w:cs="宋体" w:asciiTheme="minorEastAsia" w:hAnsiTheme="minorEastAsia" w:eastAsiaTheme="minorEastAsia"/>
                <w:sz w:val="21"/>
                <w:szCs w:val="21"/>
                <w:vertAlign w:val="subscript"/>
              </w:rPr>
              <w:t>50</w:t>
            </w:r>
            <w:r>
              <w:rPr>
                <w:rFonts w:hint="eastAsia" w:cs="宋体" w:asciiTheme="minorEastAsia" w:hAnsiTheme="minorEastAsia" w:eastAsiaTheme="minorEastAsia"/>
                <w:sz w:val="21"/>
                <w:szCs w:val="21"/>
              </w:rPr>
              <w:t>：18000mg/m</w:t>
            </w:r>
            <w:r>
              <w:rPr>
                <w:rFonts w:hint="eastAsia" w:cs="宋体" w:asciiTheme="minorEastAsia" w:hAnsiTheme="minorEastAsia" w:eastAsiaTheme="minorEastAsia"/>
                <w:sz w:val="21"/>
                <w:szCs w:val="21"/>
                <w:vertAlign w:val="superscript"/>
              </w:rPr>
              <w:t>3</w:t>
            </w:r>
            <w:r>
              <w:rPr>
                <w:rFonts w:hint="eastAsia" w:cs="宋体" w:asciiTheme="minorEastAsia" w:hAnsiTheme="minorEastAsia" w:eastAsiaTheme="minorEastAsia"/>
                <w:sz w:val="21"/>
                <w:szCs w:val="21"/>
              </w:rPr>
              <w:t>，4小时(大鼠吸入)。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194"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本品对眼、呼吸道有刺激作用;对中枢神经系统有抑制作用。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燃烧爆炸危险性</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易燃</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燃烧分解物</w:t>
            </w:r>
          </w:p>
        </w:tc>
        <w:tc>
          <w:tcPr>
            <w:tcW w:w="295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闪点(℃)</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44</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爆炸上限%（v%）：</w:t>
            </w:r>
          </w:p>
        </w:tc>
        <w:tc>
          <w:tcPr>
            <w:tcW w:w="295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7.0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自燃温度(℃)</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485</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爆炸下限%（v%）：</w:t>
            </w:r>
          </w:p>
        </w:tc>
        <w:tc>
          <w:tcPr>
            <w:tcW w:w="295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8"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危险特性</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易燃，遇明火、高热或与氧化剂接触，有引起燃烧爆炸的危险。与氧化剂能发生强烈反应。</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建规火险分级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乙</w:t>
            </w:r>
          </w:p>
        </w:tc>
        <w:tc>
          <w:tcPr>
            <w:tcW w:w="116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稳定性</w:t>
            </w:r>
          </w:p>
        </w:tc>
        <w:tc>
          <w:tcPr>
            <w:tcW w:w="1383"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w:t>
            </w:r>
          </w:p>
        </w:tc>
        <w:tc>
          <w:tcPr>
            <w:tcW w:w="149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聚合危害</w:t>
            </w:r>
          </w:p>
        </w:tc>
        <w:tc>
          <w:tcPr>
            <w:tcW w:w="1459"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禁忌物</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灭火方法</w:t>
            </w:r>
          </w:p>
        </w:tc>
        <w:tc>
          <w:tcPr>
            <w:tcW w:w="7257" w:type="dxa"/>
            <w:gridSpan w:val="9"/>
            <w:tcBorders>
              <w:top w:val="single" w:color="auto" w:sz="6" w:space="0"/>
              <w:left w:val="single" w:color="auto" w:sz="6" w:space="0"/>
              <w:bottom w:val="single" w:color="auto" w:sz="6" w:space="0"/>
              <w:right w:val="single" w:color="auto" w:sz="6" w:space="0"/>
            </w:tcBorders>
            <w:vAlign w:val="center"/>
          </w:tcPr>
          <w:p>
            <w:pPr>
              <w:pStyle w:val="399"/>
              <w:widowControl w:val="0"/>
              <w:pBdr>
                <w:bottom w:val="none" w:color="auto" w:sz="0" w:space="0"/>
                <w:right w:val="none" w:color="auto" w:sz="0" w:space="0"/>
              </w:pBdr>
              <w:spacing w:before="0" w:beforeAutospacing="0" w:after="0" w:afterAutospacing="0" w:line="280" w:lineRule="exact"/>
              <w:ind w:firstLine="0" w:firstLineChars="0"/>
              <w:rPr>
                <w:rFonts w:cs="宋体" w:asciiTheme="minorEastAsia" w:hAnsiTheme="minorEastAsia" w:eastAsiaTheme="minorEastAsia"/>
                <w:spacing w:val="10"/>
                <w:kern w:val="2"/>
                <w:sz w:val="21"/>
              </w:rPr>
            </w:pPr>
            <w:r>
              <w:rPr>
                <w:rFonts w:hint="eastAsia" w:cs="宋体" w:asciiTheme="minorEastAsia" w:hAnsiTheme="minorEastAsia" w:eastAsiaTheme="minorEastAsia"/>
                <w:sz w:val="21"/>
              </w:rPr>
              <w:t>喷水冷却容器，可能的话将容器从火场移至空旷处。灭火剂：泡沫、二氧化碳、干粉、砂土。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pacing w:val="10"/>
                <w:kern w:val="2"/>
                <w:sz w:val="21"/>
                <w:szCs w:val="21"/>
              </w:rPr>
            </w:pPr>
            <w:r>
              <w:rPr>
                <w:rFonts w:hint="eastAsia" w:cs="宋体" w:asciiTheme="minorEastAsia" w:hAnsiTheme="minorEastAsia" w:eastAsiaTheme="minorEastAsia"/>
                <w:color w:val="auto"/>
                <w:kern w:val="2"/>
                <w:sz w:val="21"/>
                <w:szCs w:val="21"/>
              </w:rPr>
              <w:t>急救措施</w:t>
            </w:r>
          </w:p>
        </w:tc>
        <w:tc>
          <w:tcPr>
            <w:tcW w:w="8987"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①皮肤接触：脱去污染的衣着，用流动清水冲洗。②眼睛接触：提起眼睑，用流动清水或生理盐水冲洗。就医。③吸入：迅速脱离现场至空气新鲜处。保持呼吸道通畅。如呼吸困难，给输氧。如呼吸停止，立即进行人工呼吸。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393"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kern w:val="2"/>
                <w:sz w:val="21"/>
                <w:szCs w:val="21"/>
              </w:rPr>
            </w:pPr>
            <w:r>
              <w:rPr>
                <w:rFonts w:hint="eastAsia" w:cs="宋体" w:asciiTheme="minorEastAsia" w:hAnsiTheme="minorEastAsia" w:eastAsiaTheme="minorEastAsia"/>
                <w:color w:val="auto"/>
                <w:sz w:val="21"/>
                <w:szCs w:val="21"/>
              </w:rPr>
              <w:t>泄漏处置</w:t>
            </w:r>
          </w:p>
        </w:tc>
        <w:tc>
          <w:tcPr>
            <w:tcW w:w="8987"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89"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储运注意事项</w:t>
            </w:r>
          </w:p>
        </w:tc>
        <w:tc>
          <w:tcPr>
            <w:tcW w:w="8987"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①储存注意事项：储存于阴凉、通风的库房。远离火种、热源。保持容器密封。应与氧化剂分开存放，切忌混储。采用防爆型照明、通风设施。禁止使用易产生火花的机械设备和工具。储区应备有泄漏应急处理设备和合适的收容材料。</w:t>
            </w:r>
          </w:p>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②运输注意事项：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p>
    <w:p>
      <w:pPr>
        <w:pStyle w:val="2"/>
        <w:spacing w:before="120"/>
        <w:ind w:firstLine="480"/>
        <w:rPr>
          <w:rFonts w:hint="eastAsia"/>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萘的理化性质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2004"/>
        <w:gridCol w:w="2694"/>
        <w:gridCol w:w="37"/>
        <w:gridCol w:w="2158"/>
        <w:gridCol w:w="273"/>
        <w:gridCol w:w="172"/>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标识</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中文名称</w:t>
            </w:r>
          </w:p>
        </w:tc>
        <w:tc>
          <w:tcPr>
            <w:tcW w:w="14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萘、粗萘、精萘</w:t>
            </w:r>
          </w:p>
        </w:tc>
        <w:tc>
          <w:tcPr>
            <w:tcW w:w="124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英文名称</w:t>
            </w:r>
          </w:p>
        </w:tc>
        <w:tc>
          <w:tcPr>
            <w:tcW w:w="98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maphthalene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分子式</w:t>
            </w:r>
          </w:p>
        </w:tc>
        <w:tc>
          <w:tcPr>
            <w:tcW w:w="14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10</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8</w:t>
            </w:r>
          </w:p>
        </w:tc>
        <w:tc>
          <w:tcPr>
            <w:tcW w:w="124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分子量</w:t>
            </w:r>
          </w:p>
        </w:tc>
        <w:tc>
          <w:tcPr>
            <w:tcW w:w="98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128.18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CAS编号</w:t>
            </w:r>
          </w:p>
        </w:tc>
        <w:tc>
          <w:tcPr>
            <w:tcW w:w="1401"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91-20-3</w:t>
            </w:r>
          </w:p>
        </w:tc>
        <w:tc>
          <w:tcPr>
            <w:tcW w:w="124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UN编号</w:t>
            </w:r>
          </w:p>
        </w:tc>
        <w:tc>
          <w:tcPr>
            <w:tcW w:w="987" w:type="pct"/>
            <w:gridSpan w:val="2"/>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危险货物编号</w:t>
            </w:r>
          </w:p>
        </w:tc>
        <w:tc>
          <w:tcPr>
            <w:tcW w:w="3635" w:type="pct"/>
            <w:gridSpan w:val="6"/>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（GB）41511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理化性质</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外观与性状</w:t>
            </w:r>
          </w:p>
        </w:tc>
        <w:tc>
          <w:tcPr>
            <w:tcW w:w="3635" w:type="pct"/>
            <w:gridSpan w:val="6"/>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白色，光亮的片状晶体，易挥发，有温和芳香气味，粗萘有煤焦油臭味。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主要用途</w:t>
            </w:r>
          </w:p>
        </w:tc>
        <w:tc>
          <w:tcPr>
            <w:tcW w:w="3635" w:type="pct"/>
            <w:gridSpan w:val="6"/>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用于制造染料中间体、樟脑丸、皮革、木材保护剂等。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熔点(℃)</w:t>
            </w:r>
          </w:p>
        </w:tc>
        <w:tc>
          <w:tcPr>
            <w:tcW w:w="1401"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80.1</w:t>
            </w:r>
          </w:p>
        </w:tc>
        <w:tc>
          <w:tcPr>
            <w:tcW w:w="1335" w:type="pct"/>
            <w:gridSpan w:val="3"/>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沸点(℃)</w:t>
            </w:r>
          </w:p>
        </w:tc>
        <w:tc>
          <w:tcPr>
            <w:tcW w:w="899" w:type="pct"/>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217.9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相对密度(水=1)</w:t>
            </w:r>
          </w:p>
        </w:tc>
        <w:tc>
          <w:tcPr>
            <w:tcW w:w="1401" w:type="pct"/>
            <w:gridSpan w:val="2"/>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1.16</w:t>
            </w:r>
          </w:p>
        </w:tc>
        <w:tc>
          <w:tcPr>
            <w:tcW w:w="1335" w:type="pct"/>
            <w:gridSpan w:val="3"/>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相对密度(空气=1)</w:t>
            </w:r>
          </w:p>
        </w:tc>
        <w:tc>
          <w:tcPr>
            <w:tcW w:w="899" w:type="pct"/>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溶解性</w:t>
            </w:r>
          </w:p>
        </w:tc>
        <w:tc>
          <w:tcPr>
            <w:tcW w:w="3635" w:type="pct"/>
            <w:gridSpan w:val="6"/>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不溶于水，溶于苯、醚、无水乙醇。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燃烧性</w:t>
            </w:r>
          </w:p>
        </w:tc>
        <w:tc>
          <w:tcPr>
            <w:tcW w:w="3635" w:type="pct"/>
            <w:gridSpan w:val="6"/>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饱和蒸气压(kPa)</w:t>
            </w:r>
          </w:p>
        </w:tc>
        <w:tc>
          <w:tcPr>
            <w:tcW w:w="3635" w:type="pct"/>
            <w:gridSpan w:val="6"/>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O.13/52.6℃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燃烧爆炸危险性</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燃烧（分解）产物</w:t>
            </w:r>
          </w:p>
        </w:tc>
        <w:tc>
          <w:tcPr>
            <w:tcW w:w="3635" w:type="pct"/>
            <w:gridSpan w:val="6"/>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一氧化碳、二氧化碳、水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闪点(℃)</w:t>
            </w:r>
          </w:p>
        </w:tc>
        <w:tc>
          <w:tcPr>
            <w:tcW w:w="1382" w:type="pct"/>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78.9</w:t>
            </w:r>
          </w:p>
        </w:tc>
        <w:tc>
          <w:tcPr>
            <w:tcW w:w="1126" w:type="pct"/>
            <w:gridSpan w:val="2"/>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自燃温度(℃)</w:t>
            </w:r>
          </w:p>
        </w:tc>
        <w:tc>
          <w:tcPr>
            <w:tcW w:w="1127" w:type="pct"/>
            <w:gridSpan w:val="3"/>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爆炸下限(V%)</w:t>
            </w:r>
          </w:p>
        </w:tc>
        <w:tc>
          <w:tcPr>
            <w:tcW w:w="1382" w:type="pct"/>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0.9</w:t>
            </w:r>
          </w:p>
        </w:tc>
        <w:tc>
          <w:tcPr>
            <w:tcW w:w="1126"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爆炸上限(V%)</w:t>
            </w:r>
          </w:p>
        </w:tc>
        <w:tc>
          <w:tcPr>
            <w:tcW w:w="1127" w:type="pct"/>
            <w:gridSpan w:val="3"/>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建规火险分级</w:t>
            </w:r>
          </w:p>
        </w:tc>
        <w:tc>
          <w:tcPr>
            <w:tcW w:w="1382" w:type="pct"/>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乙</w:t>
            </w:r>
          </w:p>
        </w:tc>
        <w:tc>
          <w:tcPr>
            <w:tcW w:w="1126" w:type="pct"/>
            <w:gridSpan w:val="2"/>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稳定性</w:t>
            </w:r>
          </w:p>
        </w:tc>
        <w:tc>
          <w:tcPr>
            <w:tcW w:w="1127" w:type="pct"/>
            <w:gridSpan w:val="3"/>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聚合危言</w:t>
            </w:r>
          </w:p>
        </w:tc>
        <w:tc>
          <w:tcPr>
            <w:tcW w:w="1382" w:type="pct"/>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不能出现</w:t>
            </w:r>
          </w:p>
        </w:tc>
        <w:tc>
          <w:tcPr>
            <w:tcW w:w="1126" w:type="pct"/>
            <w:gridSpan w:val="2"/>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禁忌物</w:t>
            </w:r>
          </w:p>
        </w:tc>
        <w:tc>
          <w:tcPr>
            <w:tcW w:w="1127" w:type="pct"/>
            <w:gridSpan w:val="3"/>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危险特性</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遇明火、高热可燃。燃烧时放出有毒的刺激性烟雾。与强氧化剂如铬酸酐、氯酸盐和高锰酸钾等接触，能发生强烈的反应，引起燃烧或爆炸。粉体与空气可形成爆炸性混合物，当达到一定的浓度时，遇火星会发生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灭火方法</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二氧化碳、雾状水、砂土。用水可引起沸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包装与储运</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危险性类别</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第4.1类易燃固体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危险货物包装标志</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包装类别</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储运注意事项</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储存于阴凉、通风仓间内。远离火种、热源。保持容器密封。防止阳光直射。应与氧化剂分开存放。搬运时要轻装轻卸，防止包装及容器损坏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毒性及健康危害</w:t>
            </w:r>
          </w:p>
        </w:tc>
        <w:tc>
          <w:tcPr>
            <w:tcW w:w="1028" w:type="pct"/>
            <w:vAlign w:val="center"/>
          </w:tcPr>
          <w:p>
            <w:pPr>
              <w:pStyle w:val="26"/>
              <w:spacing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接触限值</w:t>
            </w:r>
          </w:p>
        </w:tc>
        <w:tc>
          <w:tcPr>
            <w:tcW w:w="3635" w:type="pct"/>
            <w:gridSpan w:val="6"/>
            <w:vAlign w:val="center"/>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中国MAC   未制订标准 前苏联MAC   20mg/m</w:t>
            </w:r>
            <w:r>
              <w:rPr>
                <w:rFonts w:hint="eastAsia" w:cs="宋体" w:asciiTheme="minorEastAsia" w:hAnsiTheme="minorEastAsia" w:eastAsiaTheme="minorEastAsia"/>
                <w:sz w:val="21"/>
                <w:szCs w:val="21"/>
                <w:vertAlign w:val="superscript"/>
              </w:rPr>
              <w:t xml:space="preserve">3   </w:t>
            </w:r>
            <w:r>
              <w:rPr>
                <w:rFonts w:hint="eastAsia" w:cs="宋体" w:asciiTheme="minorEastAsia" w:hAnsiTheme="minorEastAsia" w:eastAsiaTheme="minorEastAsia"/>
                <w:sz w:val="21"/>
                <w:szCs w:val="21"/>
              </w:rPr>
              <w:t xml:space="preserve"> 美国STEL75mg/m</w:t>
            </w:r>
            <w:r>
              <w:rPr>
                <w:rFonts w:hint="eastAsia" w:cs="宋体"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侵入途径</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毒  性</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属低毒类LD</w:t>
            </w:r>
            <w:r>
              <w:rPr>
                <w:rFonts w:hint="eastAsia" w:cs="宋体" w:asciiTheme="minorEastAsia" w:hAnsiTheme="minorEastAsia" w:eastAsiaTheme="minorEastAsia"/>
                <w:sz w:val="21"/>
                <w:szCs w:val="21"/>
                <w:vertAlign w:val="subscript"/>
              </w:rPr>
              <w:t>50</w:t>
            </w:r>
            <w:r>
              <w:rPr>
                <w:rFonts w:hint="eastAsia" w:cs="宋体" w:asciiTheme="minorEastAsia" w:hAnsiTheme="minorEastAsia" w:eastAsiaTheme="minorEastAsia"/>
                <w:sz w:val="21"/>
                <w:szCs w:val="21"/>
              </w:rPr>
              <w:t xml:space="preserve">  490mg/kg(大鼠经口)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健康危害</w:t>
            </w:r>
          </w:p>
        </w:tc>
        <w:tc>
          <w:tcPr>
            <w:tcW w:w="3635" w:type="pct"/>
            <w:gridSpan w:val="6"/>
          </w:tcPr>
          <w:p>
            <w:pPr>
              <w:pStyle w:val="26"/>
              <w:spacing w:line="280" w:lineRule="exact"/>
              <w:ind w:firstLine="0" w:firstLineChars="0"/>
              <w:jc w:val="left"/>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具刺激作用，高浓度致溶血性贫血及肝、肾损害。急性中毒有恶心、呕吐、头痛、食欲消失、呼吸道及眼刺激、角膜损害、腰痛、尿频、尿中出现蛋白及红、白细胞。重者有肝肿大、抽搐、昏迷。萘可致白内障、视神经炎及视网膜疾患。可引起皮炎、湿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急救</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皮肤接触</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脱去污染的衣着，用肥皂水及清水彻底冲洗。就医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眼睛接触</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立即翻开上下眼睑，用流动清水或生理盐水冲洗奎少15分钟。就医。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吸入</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迅速脱离现场至空气新鲜处。保持呼吸道通畅。保暖并休息。呼吸困难时给输氧。呼吸停止时，立即进行人工呼吸。就医。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食入</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误服者立即漱口，饮足量温水，尽快洗胃。就医。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337" w:type="pct"/>
            <w:vMerge w:val="restar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防护措施</w:t>
            </w: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工程控制：</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密闭操作，局部排风。</w:t>
            </w:r>
          </w:p>
          <w:p>
            <w:pPr>
              <w:spacing w:before="0" w:beforeLines="0" w:line="280" w:lineRule="exact"/>
              <w:ind w:firstLine="0" w:firstLineChars="0"/>
              <w:rPr>
                <w:rFonts w:cs="宋体"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呼吸系统防护：</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应该佩戴防毒口罩。必要时佩戴自给式呼吸器。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眼睛防护：</w:t>
            </w:r>
          </w:p>
        </w:tc>
        <w:tc>
          <w:tcPr>
            <w:tcW w:w="3635" w:type="pct"/>
            <w:gridSpan w:val="6"/>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必要时戴化学安全防护眼镜。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防护服：</w:t>
            </w:r>
          </w:p>
        </w:tc>
        <w:tc>
          <w:tcPr>
            <w:tcW w:w="3635" w:type="pct"/>
            <w:gridSpan w:val="6"/>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手防护：</w:t>
            </w:r>
          </w:p>
        </w:tc>
        <w:tc>
          <w:tcPr>
            <w:tcW w:w="3635" w:type="pct"/>
            <w:gridSpan w:val="6"/>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80" w:lineRule="exact"/>
              <w:ind w:firstLine="0" w:firstLineChars="0"/>
              <w:jc w:val="center"/>
              <w:rPr>
                <w:rFonts w:cs="宋体" w:asciiTheme="minorEastAsia" w:hAnsiTheme="minorEastAsia" w:eastAsiaTheme="minorEastAsia"/>
                <w:sz w:val="21"/>
                <w:szCs w:val="21"/>
              </w:rPr>
            </w:pPr>
          </w:p>
        </w:tc>
        <w:tc>
          <w:tcPr>
            <w:tcW w:w="1028"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其它：</w:t>
            </w:r>
          </w:p>
        </w:tc>
        <w:tc>
          <w:tcPr>
            <w:tcW w:w="3635" w:type="pct"/>
            <w:gridSpan w:val="6"/>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工作现场禁止吸烟、进食和饮水。工作后，淋浴更衣。注意个人清洁卫生。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337" w:type="pct"/>
            <w:vAlign w:val="center"/>
          </w:tcPr>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泄漏处置</w:t>
            </w:r>
          </w:p>
        </w:tc>
        <w:tc>
          <w:tcPr>
            <w:tcW w:w="4663" w:type="pct"/>
            <w:gridSpan w:val="7"/>
            <w:vAlign w:val="center"/>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隔离泄漏污染区，周围设警告标志，切断火源。应急处理人员戴好防毒面具，穿一般消防防护服。避免扬尘，使用无火花工具收集于干燥净洁有盖的容器中，转移回收。</w:t>
            </w:r>
          </w:p>
        </w:tc>
      </w:tr>
    </w:tbl>
    <w:p>
      <w:pPr>
        <w:spacing w:before="0" w:beforeLines="0" w:line="280" w:lineRule="exact"/>
        <w:ind w:firstLine="0" w:firstLineChars="0"/>
        <w:jc w:val="center"/>
        <w:rPr>
          <w:rFonts w:cs="宋体" w:asciiTheme="minorEastAsia" w:hAnsiTheme="minorEastAsia" w:eastAsiaTheme="minorEastAsia"/>
          <w:sz w:val="21"/>
          <w:szCs w:val="21"/>
        </w:rPr>
      </w:pPr>
    </w:p>
    <w:p>
      <w:pPr>
        <w:spacing w:before="0" w:beforeLines="0" w:line="28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四甲苯的理化性质</w:t>
      </w:r>
    </w:p>
    <w:tbl>
      <w:tblPr>
        <w:tblStyle w:val="54"/>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8"/>
        <w:gridCol w:w="1730"/>
        <w:gridCol w:w="1375"/>
        <w:gridCol w:w="382"/>
        <w:gridCol w:w="756"/>
        <w:gridCol w:w="591"/>
        <w:gridCol w:w="1347"/>
        <w:gridCol w:w="574"/>
        <w:gridCol w:w="965"/>
        <w:gridCol w:w="1548"/>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标识</w:t>
            </w: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中文名：均四甲苯；1,2,4,5－四甲苯</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危险货物编号：</w:t>
            </w:r>
            <w:r>
              <w:rPr>
                <w:rFonts w:hint="eastAsia" w:cs="宋体" w:asciiTheme="minorEastAsia" w:hAnsiTheme="minorEastAsia" w:eastAsiaTheme="minorEastAsia"/>
                <w:sz w:val="21"/>
                <w:szCs w:val="21"/>
              </w:rPr>
              <w:t>41517</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英文名：</w:t>
            </w:r>
            <w:r>
              <w:rPr>
                <w:rFonts w:hint="eastAsia" w:cs="宋体" w:asciiTheme="minorEastAsia" w:hAnsiTheme="minorEastAsia" w:eastAsiaTheme="minorEastAsia"/>
                <w:sz w:val="21"/>
                <w:szCs w:val="21"/>
              </w:rPr>
              <w:t>sym-Tetramethylbenzene；1,2,4,5-Tetramethylbenzene</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UN编号：―――</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2904"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分子式：</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10</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14</w:t>
            </w:r>
          </w:p>
        </w:tc>
        <w:tc>
          <w:tcPr>
            <w:tcW w:w="3414"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分子量：</w:t>
            </w:r>
            <w:r>
              <w:rPr>
                <w:rFonts w:hint="eastAsia" w:cs="宋体" w:asciiTheme="minorEastAsia" w:hAnsiTheme="minorEastAsia" w:eastAsiaTheme="minorEastAsia"/>
                <w:sz w:val="21"/>
                <w:szCs w:val="21"/>
              </w:rPr>
              <w:t>134.21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CAS号：</w:t>
            </w:r>
            <w:r>
              <w:rPr>
                <w:rFonts w:hint="eastAsia" w:cs="宋体" w:asciiTheme="minorEastAsia" w:hAnsiTheme="minorEastAsia" w:eastAsiaTheme="minorEastAsia"/>
                <w:sz w:val="21"/>
                <w:szCs w:val="21"/>
              </w:rPr>
              <w:t>95-93-2</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理化性质</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外观与性状</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白色或无色结晶，有类似樟脑的气味。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熔点（℃）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b/>
                <w:spacing w:val="10"/>
                <w:sz w:val="21"/>
                <w:szCs w:val="21"/>
              </w:rPr>
            </w:pPr>
            <w:r>
              <w:rPr>
                <w:rFonts w:hint="eastAsia" w:cs="宋体" w:asciiTheme="minorEastAsia" w:hAnsiTheme="minorEastAsia" w:eastAsiaTheme="minorEastAsia"/>
                <w:sz w:val="21"/>
                <w:szCs w:val="21"/>
              </w:rPr>
              <w:t>79.2</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相对密度(水=1)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沸点（℃）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196.8</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饱和蒸气压（kPa）</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13.33/128.1℃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溶解性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不溶于水，溶于乙醇、乙醚、苯。</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侵入途径</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LD</w:t>
            </w:r>
            <w:r>
              <w:rPr>
                <w:rFonts w:hint="eastAsia" w:cs="宋体" w:asciiTheme="minorEastAsia" w:hAnsiTheme="minorEastAsia" w:eastAsiaTheme="minorEastAsia"/>
                <w:sz w:val="21"/>
                <w:szCs w:val="21"/>
                <w:vertAlign w:val="subscript"/>
              </w:rPr>
              <w:t>50</w:t>
            </w:r>
            <w:r>
              <w:rPr>
                <w:rFonts w:hint="eastAsia" w:cs="宋体" w:asciiTheme="minorEastAsia" w:hAnsiTheme="minorEastAsia" w:eastAsiaTheme="minorEastAsia"/>
                <w:sz w:val="21"/>
                <w:szCs w:val="21"/>
              </w:rPr>
              <w:t>：5000mg/kg(大鼠经口)。</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56"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本品有轻度刺激作用。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燃烧爆炸危险性</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易燃</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燃烧分解物</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闪点(℃)</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73</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爆炸上限%（v%）：</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自燃温度(℃)</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爆炸下限%（v%）：</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458"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危险特性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遇明火、高热易燃。与氧化剂接触猛烈反应。粉体与空气可形成爆炸性混合物，当达到一定浓度时, 遇火星会发生爆炸。</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建规火险分级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乙</w:t>
            </w:r>
          </w:p>
        </w:tc>
        <w:tc>
          <w:tcPr>
            <w:tcW w:w="1260"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稳定性</w:t>
            </w:r>
          </w:p>
        </w:tc>
        <w:tc>
          <w:tcPr>
            <w:tcW w:w="1260"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w:t>
            </w:r>
          </w:p>
        </w:tc>
        <w:tc>
          <w:tcPr>
            <w:tcW w:w="1440"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聚合危害</w:t>
            </w:r>
          </w:p>
        </w:tc>
        <w:tc>
          <w:tcPr>
            <w:tcW w:w="144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禁忌物</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b/>
                <w:spacing w:val="10"/>
                <w:sz w:val="21"/>
                <w:szCs w:val="21"/>
              </w:rPr>
            </w:pPr>
            <w:r>
              <w:rPr>
                <w:rFonts w:hint="eastAsia" w:cs="宋体" w:asciiTheme="minorEastAsia" w:hAnsiTheme="minorEastAsia" w:eastAsiaTheme="minorEastAsia"/>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280" w:lineRule="exact"/>
              <w:ind w:firstLine="0" w:firstLineChars="0"/>
              <w:jc w:val="center"/>
              <w:rPr>
                <w:rFonts w:cs="宋体" w:asciiTheme="minorEastAsia" w:hAnsiTheme="minorEastAsia" w:eastAsiaTheme="minorEastAsia"/>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28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灭火方法</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pStyle w:val="399"/>
              <w:widowControl w:val="0"/>
              <w:pBdr>
                <w:bottom w:val="none" w:color="auto" w:sz="0" w:space="0"/>
                <w:right w:val="none" w:color="auto" w:sz="0" w:space="0"/>
              </w:pBdr>
              <w:spacing w:before="0" w:beforeAutospacing="0" w:after="0" w:afterAutospacing="0" w:line="280" w:lineRule="exact"/>
              <w:ind w:firstLine="0" w:firstLineChars="0"/>
              <w:jc w:val="left"/>
              <w:rPr>
                <w:rFonts w:cs="宋体" w:asciiTheme="minorEastAsia" w:hAnsiTheme="minorEastAsia" w:eastAsiaTheme="minorEastAsia"/>
                <w:spacing w:val="10"/>
                <w:kern w:val="2"/>
                <w:sz w:val="21"/>
              </w:rPr>
            </w:pPr>
            <w:r>
              <w:rPr>
                <w:rFonts w:hint="eastAsia" w:cs="宋体" w:asciiTheme="minorEastAsia" w:hAnsiTheme="minorEastAsia" w:eastAsiaTheme="minorEastAsia"/>
                <w:sz w:val="21"/>
              </w:rPr>
              <w:t>尽可能将容器从火场移至空旷处。灭火剂：雾状水、泡沫、干粉、二氧化碳、砂土。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222"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pacing w:val="10"/>
                <w:kern w:val="2"/>
                <w:sz w:val="21"/>
                <w:szCs w:val="21"/>
              </w:rPr>
            </w:pPr>
            <w:r>
              <w:rPr>
                <w:rFonts w:hint="eastAsia" w:cs="宋体" w:asciiTheme="minorEastAsia" w:hAnsiTheme="minorEastAsia" w:eastAsiaTheme="minorEastAsia"/>
                <w:color w:val="auto"/>
                <w:kern w:val="2"/>
                <w:sz w:val="21"/>
                <w:szCs w:val="21"/>
              </w:rPr>
              <w:t>急救措施</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①皮肤接触：脱去污染的衣着，用流动清水冲洗。②眼睛接触：提起眼睑，用流动清水或生理盐水冲洗。就医。③吸入：脱离现场至空气新鲜处。如呼吸困难，给输氧。就医。④食入：饮足量温水，催吐。就医。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453"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kern w:val="2"/>
                <w:sz w:val="21"/>
                <w:szCs w:val="21"/>
              </w:rPr>
            </w:pPr>
            <w:r>
              <w:rPr>
                <w:rFonts w:hint="eastAsia" w:cs="宋体" w:asciiTheme="minorEastAsia" w:hAnsiTheme="minorEastAsia" w:eastAsiaTheme="minorEastAsia"/>
                <w:color w:val="auto"/>
                <w:sz w:val="21"/>
                <w:szCs w:val="21"/>
              </w:rPr>
              <w:t>泄漏处置</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隔离泄漏污染区，限制出入。切断火源。建议应急处理人员戴防尘面具（全面罩），穿防毒服。用洁净的铲子收集于干燥、洁净、有盖的容器中，转移至安全场所。若大量泄漏，收集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353"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485"/>
              <w:widowControl w:val="0"/>
              <w:pBdr>
                <w:left w:val="none" w:color="auto" w:sz="0" w:space="0"/>
                <w:right w:val="none" w:color="auto" w:sz="0" w:space="0"/>
              </w:pBdr>
              <w:adjustRightInd w:val="0"/>
              <w:snapToGrid w:val="0"/>
              <w:spacing w:before="0" w:beforeLines="0" w:after="0" w:line="280" w:lineRule="exact"/>
              <w:ind w:firstLine="0" w:firstLineChars="0"/>
              <w:jc w:val="center"/>
              <w:rPr>
                <w:rFonts w:cs="宋体" w:asciiTheme="minorEastAsia" w:hAnsiTheme="minorEastAsia" w:eastAsiaTheme="minorEastAsia"/>
                <w:color w:val="auto"/>
                <w:sz w:val="21"/>
                <w:szCs w:val="21"/>
              </w:rPr>
            </w:pPr>
            <w:r>
              <w:rPr>
                <w:rFonts w:hint="eastAsia" w:cs="宋体" w:asciiTheme="minorEastAsia" w:hAnsiTheme="minorEastAsia" w:eastAsiaTheme="minorEastAsia"/>
                <w:color w:val="auto"/>
                <w:sz w:val="21"/>
                <w:szCs w:val="21"/>
              </w:rPr>
              <w:t>储运注意事项</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①储存注意事项：储存于阴凉、通风的库房。远离火种、热源。库温不超过32℃，相对湿度不超过80％。应与氧化剂分开存放，切忌混储。采用防爆型照明、通风设施。禁止使用易产生火花的机械设备和工具。储区应备有合适的材料收容泄漏物。</w:t>
            </w:r>
          </w:p>
          <w:p>
            <w:pPr>
              <w:adjustRightInd w:val="0"/>
              <w:snapToGrid w:val="0"/>
              <w:spacing w:before="0" w:beforeLines="0" w:line="280" w:lineRule="exact"/>
              <w:ind w:firstLine="0" w:firstLineChars="0"/>
              <w:rPr>
                <w:rFonts w:cs="宋体" w:asciiTheme="minorEastAsia" w:hAnsiTheme="minorEastAsia" w:eastAsiaTheme="minorEastAsia"/>
                <w:b/>
                <w:sz w:val="21"/>
                <w:szCs w:val="21"/>
              </w:rPr>
            </w:pPr>
            <w:r>
              <w:rPr>
                <w:rFonts w:hint="eastAsia" w:cs="宋体" w:asciiTheme="minorEastAsia" w:hAnsiTheme="minorEastAsia" w:eastAsiaTheme="minorEastAsia"/>
                <w:sz w:val="21"/>
                <w:szCs w:val="21"/>
              </w:rPr>
              <w:t>②运输注意事项：运输时运输车辆应配备相应品种和数量的消防器材及泄漏应急处理设备。装运本品的车辆排气管须有阻火装置。运输过程中要确保容器不泄漏、不倒塌、不坠落、不损坏。严禁与氧化剂等混装混运。运输途中应防曝晒、雨淋，防高温。中途停留时应远离火种、热源。车辆运输完毕应进行彻底清扫。铁路运输时要禁止溜放。</w:t>
            </w:r>
          </w:p>
        </w:tc>
      </w:tr>
    </w:tbl>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苯的理化性质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3"/>
        <w:gridCol w:w="2587"/>
        <w:gridCol w:w="57"/>
        <w:gridCol w:w="366"/>
        <w:gridCol w:w="2023"/>
        <w:gridCol w:w="674"/>
        <w:gridCol w:w="33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0"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标识</w:t>
            </w:r>
          </w:p>
        </w:tc>
        <w:tc>
          <w:tcPr>
            <w:tcW w:w="1327" w:type="pct"/>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中文名：苯</w:t>
            </w:r>
          </w:p>
        </w:tc>
        <w:tc>
          <w:tcPr>
            <w:tcW w:w="1601" w:type="pct"/>
            <w:gridSpan w:val="4"/>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英文名：benzene</w:t>
            </w:r>
          </w:p>
        </w:tc>
        <w:tc>
          <w:tcPr>
            <w:tcW w:w="1701" w:type="pct"/>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危规号：32050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27" w:type="pct"/>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分子式：C6H6</w:t>
            </w:r>
          </w:p>
        </w:tc>
        <w:tc>
          <w:tcPr>
            <w:tcW w:w="1601" w:type="pct"/>
            <w:gridSpan w:val="4"/>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分子量：78.11</w:t>
            </w:r>
          </w:p>
        </w:tc>
        <w:tc>
          <w:tcPr>
            <w:tcW w:w="1701" w:type="pct"/>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CAS号：71-43-2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理化性质</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性状：无色透明液体，有强烈芳香味。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溶解性：不溶于水，溶于醇、醚、丙酮等多数有机溶剂。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熔点（℃）：5.5</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沸点（℃）：80.1</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相对密度（水＝1）：0.88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临界温度（℃）：289.5</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临界压力（MPa）：4.92</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相对密度（空气＝1）：2.77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燃烧热（KJ/mol）：3264.4</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最小点火能（mJ）：</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饱和蒸汽压（kPa）：13.33(26.1℃)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燃烧爆炸危险性</w:t>
            </w: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燃烧性：易燃</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燃烧分解产物：一氧化碳、二氧化碳。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闪点（℃）：-11</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聚合危害：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爆炸下限（％）：1.2</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1"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爆炸上限（％）：8.0</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避免接触的条件：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引燃温度（℃）：560</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禁忌物：强氧化剂。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险特性：易燃，其蒸气与空气可形成爆炸性混合物，遇明火、高热极易燃烧爆炸。与氧化剂能发生强烈反应。易产生和聚集静电，有燃烧爆炸危险。其蒸气比空气重，能在较低处扩散到相当远的地方，遇火源会着火回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灭火方法：喷水冷却容器，可能的话将容器从火场移至空旷处。处在火场中的容器若已变色或从安全泄压装置中产生声音，必须马上撤离。灭火剂：泡沫、干粉、二氧化碳、砂土。用水灭火无效。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毒性</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LD50：3306 mg/kg(大鼠经口)；48 mg/kg(小鼠经皮)</w:t>
            </w:r>
            <w:r>
              <w:rPr>
                <w:rFonts w:hint="eastAsia" w:ascii="宋体" w:hAnsi="宋体" w:cs="宋体"/>
                <w:sz w:val="21"/>
                <w:szCs w:val="21"/>
              </w:rPr>
              <w:br w:type="textWrapping"/>
            </w:r>
            <w:r>
              <w:rPr>
                <w:rFonts w:hint="eastAsia" w:ascii="宋体" w:hAnsi="宋体" w:cs="宋体"/>
                <w:sz w:val="21"/>
                <w:szCs w:val="21"/>
              </w:rPr>
              <w:t>LC50：31900mg/m3，7小时(大鼠吸入)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65"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对人体危害</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健康危害：高浓度苯对中枢神经系统有麻醉作用，引起急性中毒；长期接触苯对造血系统有损害，引起慢性中毒。急性中毒：轻者有头痛、头晕、恶心、呕吐、轻度兴奋、步态蹒跚等酒醉状态；严重者发生昏迷、抽搐、血压下降，以致呼吸和循环衰竭。慢性中毒：主要表现有神经衰弱综合征；造血系统改变：白细胞、血小板减少，重者出现再生障碍性贫血；少数病例在慢性中毒后可发生白血病( 以急性粒细胞性为多见 )。皮肤损害有脱脂、干燥、皲裂、皮炎。可致月经量增多与经期延长。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4"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急救</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皮肤接触：脱去污染的衣着，用肥皂水和清水彻底冲洗皮肤。</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眼睛接触：提起眼睑，用流动清水或生理盐水冲洗。就医。</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吸入：迅速脱离现场至空气新鲜处。保持呼吸道通畅。如呼吸困难，给输氧。如呼吸停止，立即进行人工呼吸。就医。</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食入：饮足量温水，催吐。就医。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防护</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工程控制：生产过程密闭，加强通风。提供安全淋浴和洗眼设备。</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呼吸系统防护：空气中浓度超标时，佩戴自吸过滤式防毒面具（半面罩）。紧急事态抢救或撤离时，应该佩戴空气呼吸器或氧气呼吸器。</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眼睛防护：戴化学安全防护眼镜。身体防护：穿防毒物渗透工作服。手防护：戴橡胶耐油手套。</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其他防护：工作现场禁止吸烟、进食和饮水。工作完毕，淋浴更衣。实行就业前和定期的体检。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5"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泄漏处理</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迅速撤离泄漏污染区人员至安全区，并进行隔离，严格限制出入。切断火源。建议应急处理人员戴自给正压式呼吸器，穿防毒服。尽可能切断泄漏源。防止流入下水道、排洪沟等限制性空间。小量泄漏：用活性炭或其它惰性材料吸收。也可以用不燃性分散剂制成的乳液刷洗，洗液稀释后放入废水系统。大量泄漏：构筑围堤或挖坑收容。用泡沫覆盖，降低蒸气灾害。喷雾状水或泡沫冷却和稀释蒸汽、保护现场人员。用防爆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贮运</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储存于阴凉、通风的库房。远离火种、热源。库温不宜超过30℃。保持容器密封。应与氧化剂、食用化学品分开存放，切忌混储。采用防爆型照明、通风设施。禁止使用易产生火花的机械设备和工具。储区应备有泄漏应急处理设备和合适的收容材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操作注意事项</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密闭操作，加强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bl>
    <w:p>
      <w:pPr>
        <w:spacing w:before="0" w:beforeLines="0" w:line="240" w:lineRule="exact"/>
        <w:ind w:firstLine="420"/>
        <w:rPr>
          <w:rFonts w:ascii="宋体" w:hAnsi="宋体" w:cs="宋体"/>
          <w:sz w:val="21"/>
          <w:szCs w:val="21"/>
        </w:rPr>
      </w:pPr>
    </w:p>
    <w:p>
      <w:pPr>
        <w:spacing w:before="0" w:beforeLines="0" w:line="240" w:lineRule="exact"/>
        <w:ind w:firstLine="420"/>
        <w:rPr>
          <w:rFonts w:ascii="宋体" w:hAnsi="宋体" w:cs="宋体"/>
          <w:sz w:val="21"/>
          <w:szCs w:val="21"/>
        </w:rPr>
      </w:pPr>
    </w:p>
    <w:p>
      <w:pPr>
        <w:spacing w:before="0" w:beforeLines="0" w:line="280" w:lineRule="exact"/>
        <w:ind w:firstLine="0" w:firstLineChars="0"/>
        <w:rPr>
          <w:rFonts w:cs="宋体" w:asciiTheme="minorEastAsia" w:hAnsiTheme="minorEastAsia" w:eastAsiaTheme="minorEastAsia"/>
          <w:sz w:val="21"/>
          <w:szCs w:val="21"/>
        </w:rPr>
      </w:pPr>
      <w:r>
        <w:rPr>
          <w:rFonts w:hint="eastAsia" w:ascii="宋体" w:hAnsi="宋体" w:cs="宋体"/>
        </w:rPr>
        <w:t xml:space="preserve">                        </w:t>
      </w:r>
      <w:r>
        <w:rPr>
          <w:rFonts w:hint="eastAsia" w:cs="宋体" w:asciiTheme="minorEastAsia" w:hAnsiTheme="minorEastAsia" w:eastAsiaTheme="minorEastAsia"/>
          <w:sz w:val="21"/>
          <w:szCs w:val="21"/>
        </w:rPr>
        <w:t xml:space="preserve">             </w:t>
      </w:r>
      <w:r>
        <w:rPr>
          <w:rFonts w:hint="eastAsia" w:cs="宋体" w:asciiTheme="minorEastAsia" w:hAnsiTheme="minorEastAsia" w:eastAsiaTheme="minorEastAsia"/>
          <w:snapToGrid w:val="0"/>
          <w:spacing w:val="10"/>
          <w:w w:val="95"/>
          <w:kern w:val="28"/>
          <w:sz w:val="21"/>
          <w:szCs w:val="21"/>
        </w:rPr>
        <w:t>甲苯</w:t>
      </w:r>
      <w:r>
        <w:rPr>
          <w:rFonts w:hint="eastAsia" w:cs="宋体" w:asciiTheme="minorEastAsia" w:hAnsiTheme="minorEastAsia" w:eastAsiaTheme="minorEastAsia"/>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326"/>
        <w:gridCol w:w="164"/>
        <w:gridCol w:w="336"/>
        <w:gridCol w:w="168"/>
        <w:gridCol w:w="168"/>
        <w:gridCol w:w="168"/>
        <w:gridCol w:w="170"/>
        <w:gridCol w:w="832"/>
        <w:gridCol w:w="173"/>
        <w:gridCol w:w="332"/>
        <w:gridCol w:w="164"/>
        <w:gridCol w:w="63"/>
        <w:gridCol w:w="105"/>
        <w:gridCol w:w="332"/>
        <w:gridCol w:w="6"/>
        <w:gridCol w:w="171"/>
        <w:gridCol w:w="159"/>
        <w:gridCol w:w="168"/>
        <w:gridCol w:w="169"/>
        <w:gridCol w:w="454"/>
        <w:gridCol w:w="39"/>
        <w:gridCol w:w="172"/>
        <w:gridCol w:w="171"/>
        <w:gridCol w:w="168"/>
        <w:gridCol w:w="164"/>
        <w:gridCol w:w="9"/>
        <w:gridCol w:w="491"/>
        <w:gridCol w:w="170"/>
        <w:gridCol w:w="181"/>
        <w:gridCol w:w="657"/>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011" w:type="dxa"/>
            <w:gridSpan w:val="12"/>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甲苯</w:t>
            </w:r>
          </w:p>
        </w:tc>
        <w:tc>
          <w:tcPr>
            <w:tcW w:w="1166"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087" w:type="dxa"/>
            <w:gridSpan w:val="10"/>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Methylbenzene: Toluene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264" w:type="dxa"/>
            <w:gridSpan w:val="29"/>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无色透明液体，有类似苯的芳香气味。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02"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83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-94.9</w:t>
            </w:r>
          </w:p>
        </w:tc>
        <w:tc>
          <w:tcPr>
            <w:tcW w:w="1170"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83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110.6</w:t>
            </w:r>
          </w:p>
        </w:tc>
        <w:tc>
          <w:tcPr>
            <w:tcW w:w="100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16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w:t>
            </w:r>
          </w:p>
        </w:tc>
        <w:tc>
          <w:tcPr>
            <w:tcW w:w="150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9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0.87</w:t>
            </w:r>
          </w:p>
        </w:tc>
        <w:tc>
          <w:tcPr>
            <w:tcW w:w="1168" w:type="dxa"/>
            <w:gridSpan w:val="8"/>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173"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576" w:type="dxa"/>
            <w:gridSpan w:val="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3.14</w:t>
            </w:r>
          </w:p>
        </w:tc>
        <w:tc>
          <w:tcPr>
            <w:tcW w:w="1168" w:type="dxa"/>
            <w:gridSpan w:val="8"/>
            <w:vMerge w:val="continue"/>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173"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576" w:type="dxa"/>
            <w:gridSpan w:val="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01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1.2～7.0</w:t>
            </w:r>
          </w:p>
        </w:tc>
        <w:tc>
          <w:tcPr>
            <w:tcW w:w="84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076" w:type="dxa"/>
            <w:gridSpan w:val="1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08"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66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3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00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100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50</w:t>
            </w:r>
          </w:p>
        </w:tc>
        <w:tc>
          <w:tcPr>
            <w:tcW w:w="100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9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592" w:type="dxa"/>
            <w:gridSpan w:val="2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 xml:space="preserve"> 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516"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 xml:space="preserve"> 第3.2类中闪点易燃液体</w:t>
            </w:r>
          </w:p>
        </w:tc>
        <w:tc>
          <w:tcPr>
            <w:tcW w:w="167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40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w:t>
            </w:r>
            <w:r>
              <w:rPr>
                <w:rFonts w:asciiTheme="minorEastAsia" w:hAnsiTheme="minorEastAsia" w:eastAsiaTheme="minorEastAsia"/>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76"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564"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56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565"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561"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51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32052</w:t>
            </w:r>
          </w:p>
        </w:tc>
        <w:tc>
          <w:tcPr>
            <w:tcW w:w="1002"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503"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1294</w:t>
            </w:r>
          </w:p>
        </w:tc>
        <w:tc>
          <w:tcPr>
            <w:tcW w:w="100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74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108－88－3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513"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w:t>
            </w:r>
          </w:p>
        </w:tc>
        <w:tc>
          <w:tcPr>
            <w:tcW w:w="1503"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74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易燃，其蒸汽与空气可形成爆炸性混合物，遇明火、高热能引起燃烧爆炸。与氧化剂能发生剧烈反应。流速过快，容易产生和积聚静电。其蒸汽比空气重，能在较低处扩散到相当远的地方，遇火源会着火回燃。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喷水冷却容器，可能的话将容器从火场移至空旷处。处在火场中的容器若已变色或从安全泄压装置中产生声音，必须马上撤离。用水灭火无效。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对皮肤、粘膜有刺激性，对中枢神经系统有麻醉作用。急性中毒：短时间内吸入较高浓度本品可出现眼及上呼吸道明显的刺激性症状、眼结膜及咽喉部充血、头晕、头痛、恶心、呕吐、胸闷、四肢无力、步态蹒跚、意识模糊。重症者可有躁动、抽搐、昏迷。慢性中毒：长期接触可发生神经衰弱综合症，肝肿大，女工月经异常等。皮肤干燥、皲裂、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1"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速撤离泄漏污染区人员至安全处，并进行隔离，严格限制出入。切断火源。建议应急处理人员戴自给正压式呼吸器，穿防毒服。尽可能切断泄漏源。防止流入下水道、排洪沟等限制性空间。小量泄漏：用活性炭或其它惰性材料吸收。也可以用不燃性分散剂制成的乳液冲洗，洗液稀释后放入废水系统。大量泄漏：构筑围堤或挖坑收容。用泡沫覆盖，降低蒸汽危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1"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加强通风。操作人员必须经过专门培训，严格遵守操作规程。建议操作人员佩戴自吸过滤式放毒面具，戴化学安全防护眼镜，穿防毒物渗透工作服，戴橡胶耐油手套。远离火种、热源，工作场所严禁吸烟。使用防爆型的通风系统和设备。防止蒸汽泄漏到工作场所空气中。避免与氧化剂接触 。灌装时应控制流速，且有接地装置，防止静电积聚。搬运时要轻装轻卸，防止包装及容器损坏。配备相应品种和数量的消防器材及泄漏应急处理设备。倒空的容器中可能残留有害物。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7754" w:type="dxa"/>
            <w:gridSpan w:val="3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储存于阴凉、通风库房内。远离火种、热源 。库温宜不超过30</w:t>
            </w:r>
            <w:r>
              <w:rPr>
                <w:rFonts w:asciiTheme="minorEastAsia" w:hAnsiTheme="minorEastAsia" w:eastAsiaTheme="minorEastAsia"/>
                <w:snapToGrid w:val="0"/>
                <w:kern w:val="0"/>
                <w:sz w:val="21"/>
                <w:szCs w:val="21"/>
                <w:vertAlign w:val="superscript"/>
              </w:rPr>
              <w:t>0</w:t>
            </w:r>
            <w:r>
              <w:rPr>
                <w:rFonts w:asciiTheme="minorEastAsia" w:hAnsiTheme="minorEastAsia" w:eastAsiaTheme="minorEastAsia"/>
                <w:snapToGrid w:val="0"/>
                <w:kern w:val="0"/>
                <w:sz w:val="21"/>
                <w:szCs w:val="21"/>
              </w:rPr>
              <w:t>C。保持容器密封。应与氧化剂分开存放，切忌混储。 采用防爆型的照明、通风设施。禁止使用易产生火花的机械设备和工具。储区应备有泄漏应急处理设备和合适的收容材料。</w:t>
            </w:r>
          </w:p>
        </w:tc>
      </w:tr>
    </w:tbl>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乙苯的理化性质</w:t>
      </w:r>
    </w:p>
    <w:tbl>
      <w:tblPr>
        <w:tblStyle w:val="54"/>
        <w:tblW w:w="4873"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2834"/>
        <w:gridCol w:w="1278"/>
        <w:gridCol w:w="4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中文名称</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乙基苯</w:t>
            </w:r>
          </w:p>
        </w:tc>
        <w:tc>
          <w:tcPr>
            <w:tcW w:w="2912" w:type="pct"/>
            <w:gridSpan w:val="2"/>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CAS号：100-41-4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英文名称</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ethylbenzene</w:t>
            </w:r>
          </w:p>
        </w:tc>
        <w:tc>
          <w:tcPr>
            <w:tcW w:w="2912" w:type="pct"/>
            <w:gridSpan w:val="2"/>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别名：乙苯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分子式</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C</w:t>
            </w:r>
            <w:r>
              <w:rPr>
                <w:rFonts w:hint="eastAsia" w:cs="宋体" w:asciiTheme="minorEastAsia" w:hAnsiTheme="minorEastAsia" w:eastAsiaTheme="minorEastAsia"/>
                <w:kern w:val="0"/>
                <w:sz w:val="21"/>
                <w:szCs w:val="21"/>
                <w:vertAlign w:val="subscript"/>
              </w:rPr>
              <w:t>8</w:t>
            </w:r>
            <w:r>
              <w:rPr>
                <w:rFonts w:hint="eastAsia" w:cs="宋体" w:asciiTheme="minorEastAsia" w:hAnsiTheme="minorEastAsia" w:eastAsiaTheme="minorEastAsia"/>
                <w:kern w:val="0"/>
                <w:sz w:val="21"/>
                <w:szCs w:val="21"/>
              </w:rPr>
              <w:t>H</w:t>
            </w:r>
            <w:r>
              <w:rPr>
                <w:rFonts w:hint="eastAsia" w:cs="宋体" w:asciiTheme="minorEastAsia" w:hAnsiTheme="minorEastAsia" w:eastAsiaTheme="minorEastAsia"/>
                <w:kern w:val="0"/>
                <w:sz w:val="21"/>
                <w:szCs w:val="21"/>
                <w:vertAlign w:val="subscript"/>
              </w:rPr>
              <w:t>10</w:t>
            </w:r>
            <w:r>
              <w:rPr>
                <w:rFonts w:hint="eastAsia" w:cs="宋体" w:asciiTheme="minorEastAsia" w:hAnsiTheme="minorEastAsia" w:eastAsiaTheme="minorEastAsia"/>
                <w:kern w:val="0"/>
                <w:sz w:val="21"/>
                <w:szCs w:val="21"/>
              </w:rPr>
              <w:t>；C</w:t>
            </w:r>
            <w:r>
              <w:rPr>
                <w:rFonts w:hint="eastAsia" w:cs="宋体" w:asciiTheme="minorEastAsia" w:hAnsiTheme="minorEastAsia" w:eastAsiaTheme="minorEastAsia"/>
                <w:kern w:val="0"/>
                <w:sz w:val="21"/>
                <w:szCs w:val="21"/>
                <w:vertAlign w:val="subscript"/>
              </w:rPr>
              <w:t>6</w:t>
            </w:r>
            <w:r>
              <w:rPr>
                <w:rFonts w:hint="eastAsia" w:cs="宋体" w:asciiTheme="minorEastAsia" w:hAnsiTheme="minorEastAsia" w:eastAsiaTheme="minorEastAsia"/>
                <w:kern w:val="0"/>
                <w:sz w:val="21"/>
                <w:szCs w:val="21"/>
              </w:rPr>
              <w:t>H</w:t>
            </w:r>
            <w:r>
              <w:rPr>
                <w:rFonts w:hint="eastAsia" w:cs="宋体" w:asciiTheme="minorEastAsia" w:hAnsiTheme="minorEastAsia" w:eastAsiaTheme="minorEastAsia"/>
                <w:kern w:val="0"/>
                <w:sz w:val="21"/>
                <w:szCs w:val="21"/>
                <w:vertAlign w:val="subscript"/>
              </w:rPr>
              <w:t>5</w:t>
            </w:r>
            <w:r>
              <w:rPr>
                <w:rFonts w:hint="eastAsia" w:cs="宋体" w:asciiTheme="minorEastAsia" w:hAnsiTheme="minorEastAsia" w:eastAsiaTheme="minorEastAsia"/>
                <w:kern w:val="0"/>
                <w:sz w:val="21"/>
                <w:szCs w:val="21"/>
              </w:rPr>
              <w:t>CH</w:t>
            </w:r>
            <w:r>
              <w:rPr>
                <w:rFonts w:hint="eastAsia" w:cs="宋体" w:asciiTheme="minorEastAsia" w:hAnsiTheme="minorEastAsia" w:eastAsiaTheme="minorEastAsia"/>
                <w:kern w:val="0"/>
                <w:sz w:val="21"/>
                <w:szCs w:val="21"/>
                <w:vertAlign w:val="subscript"/>
              </w:rPr>
              <w:t>2</w:t>
            </w:r>
            <w:r>
              <w:rPr>
                <w:rFonts w:hint="eastAsia" w:cs="宋体" w:asciiTheme="minorEastAsia" w:hAnsiTheme="minorEastAsia" w:eastAsiaTheme="minorEastAsia"/>
                <w:kern w:val="0"/>
                <w:sz w:val="21"/>
                <w:szCs w:val="21"/>
              </w:rPr>
              <w:t>CH</w:t>
            </w:r>
            <w:r>
              <w:rPr>
                <w:rFonts w:hint="eastAsia" w:cs="宋体" w:asciiTheme="minorEastAsia" w:hAnsiTheme="minorEastAsia" w:eastAsiaTheme="minorEastAsia"/>
                <w:kern w:val="0"/>
                <w:sz w:val="21"/>
                <w:szCs w:val="21"/>
                <w:vertAlign w:val="subscript"/>
              </w:rPr>
              <w:t>3</w:t>
            </w:r>
          </w:p>
        </w:tc>
        <w:tc>
          <w:tcPr>
            <w:tcW w:w="673"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外观与性状</w:t>
            </w:r>
          </w:p>
        </w:tc>
        <w:tc>
          <w:tcPr>
            <w:tcW w:w="2239"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无色液体，有芳香气味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分子量</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10.16</w:t>
            </w:r>
          </w:p>
        </w:tc>
        <w:tc>
          <w:tcPr>
            <w:tcW w:w="673"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蒸汽压</w:t>
            </w:r>
          </w:p>
        </w:tc>
        <w:tc>
          <w:tcPr>
            <w:tcW w:w="2239"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1.33/25.9℃ 闪点：15℃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熔点</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-94.9℃ 沸点：1.36.2℃</w:t>
            </w:r>
          </w:p>
        </w:tc>
        <w:tc>
          <w:tcPr>
            <w:tcW w:w="673"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溶解性</w:t>
            </w:r>
          </w:p>
        </w:tc>
        <w:tc>
          <w:tcPr>
            <w:tcW w:w="2239"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不溶于水，可混溶于乙醇、醚等多数有机溶剂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密度</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相对密度(水=1)0.87；相对密度(空气=1)3.66</w:t>
            </w:r>
          </w:p>
        </w:tc>
        <w:tc>
          <w:tcPr>
            <w:tcW w:w="673"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稳定性</w:t>
            </w:r>
          </w:p>
        </w:tc>
        <w:tc>
          <w:tcPr>
            <w:tcW w:w="2239"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稳定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危险标记</w:t>
            </w:r>
          </w:p>
        </w:tc>
        <w:tc>
          <w:tcPr>
            <w:tcW w:w="1492"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7(易燃液体)</w:t>
            </w:r>
          </w:p>
        </w:tc>
        <w:tc>
          <w:tcPr>
            <w:tcW w:w="673"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主要用途</w:t>
            </w:r>
          </w:p>
        </w:tc>
        <w:tc>
          <w:tcPr>
            <w:tcW w:w="2239"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用于有机合成和用作溶剂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sz w:val="21"/>
                <w:szCs w:val="21"/>
              </w:rPr>
              <w:t>健康危害</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sz w:val="21"/>
                <w:szCs w:val="21"/>
              </w:rPr>
              <w:t>侵入途径：吸入、食入。</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健康危害：本品对皮肤、粘膜有较强刺激性，高浓度有麻醉作用。</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急性中毒：轻度中毒有头晕、头痛、恶心、呕吐、步态蹒跚、轻度意识障碍及眼和上呼吸道刺激症状。重者发生昏迷、抽搐、血压下降及呼吸循环衰竭。可有肝损害。直接吸入本品液体可致化学性肺炎和肺水肿。</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慢性中毒：眼及上呼吸道刺激症状、神经衰弱综合征。皮肤出现粘糙、皲裂、脱皮。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危险特性</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易燃，其蒸气与空气可形成爆炸性混合物。遇明火、高热或与氧化剂接触，有引起燃烧爆炸的危险。与氧化剂接触会猛烈反应。流速过快，容易产生和积聚静电。其蒸气比空气重，能在较低处扩散到相当远的地方，遇明火会引着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燃烧(分解)产物</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7"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泄漏应急处理</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迅速撤离泄漏污染区人员至安全区，并进行隔离，严格限制出入。切断火源。迅速用砂土、泥块阻断洒在地上的乙苯向四周扩散。筑坝切断被污染的水体的流动，或用围栏限制水面乙苯的蔓延。配戴防毒面具、手套，将漏液收集在适当容器内封存，并用砂土或其它惰性材料吸附玩世不恭液，转移到安全地带。当乙苯洒到土壤中时，立即将被污染土壤收集起来，转移到安全地带。对污染地带加强通风，蒸发残液，排除乙苯蒸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6"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防护措施</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呼吸系统防护：空气中浓度超标时，应该佩戴自吸过滤式防毒面罩(半面罩)。紧急事态抢救或撤离时，应该佩戴空气呼吸器或氧气呼吸器。</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眼睛防护：戴化学安全防护眼镜。</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身体防护：穿防毒渗透工作服。</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手防护：戴乳胶手套。</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其它：工作现场禁止吸烟、进食和饮水。工作毕，淋浴更衣。保持良好的卫生习惯。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急救措施</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皮肤接触：脱去被污染的衣着，用肥皂水和清水彻底冲洗皮肤。</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眼睛接触：提起眼睑，用流动清水或生理盐水冲洗。就医。</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吸入：迅速脱离现场至空气新鲜处。保持呼吸道通畅。如呼吸困难，给输氧。如呼吸停止，立即进行人工呼吸。就医。</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食入：饮足量温水，催吐，就医。</w:t>
            </w:r>
          </w:p>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灭火方法：喷水保持火场容器冷却。尽可能将容器从火场移至空旷处。处在火场中的容器若已变色或从安全泄压装置中产生声音，必须马上撤离。灭火剂：泡沫、干粉、二氧化碳、砂土。用水灭火无效。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6"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操作注意事项</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密闭操作，加强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储存注意事项</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9"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包装方法</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596"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运输注意事项</w:t>
            </w:r>
          </w:p>
        </w:tc>
        <w:tc>
          <w:tcPr>
            <w:tcW w:w="4404"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本品铁路运输时限使用钢制企业自备罐车装运，装运前需报有关部门批准。铁路非罐装运输时应严格按照铁道部《危险货物运输规则》中的危险货物配装表进行配装。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 </w:t>
            </w:r>
          </w:p>
        </w:tc>
      </w:tr>
    </w:tbl>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pStyle w:val="2"/>
        <w:spacing w:before="120"/>
        <w:ind w:firstLine="480"/>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r>
        <w:rPr>
          <w:rFonts w:hint="eastAsia" w:cs="仿宋" w:asciiTheme="minorEastAsia" w:hAnsiTheme="minorEastAsia" w:eastAsiaTheme="minorEastAsia"/>
          <w:color w:val="000000" w:themeColor="text1"/>
          <w:kern w:val="0"/>
          <w:sz w:val="21"/>
          <w:szCs w:val="21"/>
          <w14:textFill>
            <w14:solidFill>
              <w14:schemeClr w14:val="tx1"/>
            </w14:solidFill>
          </w14:textFill>
        </w:rPr>
        <w:t>氯化氢理化性质</w:t>
      </w:r>
    </w:p>
    <w:tbl>
      <w:tblPr>
        <w:tblStyle w:val="54"/>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0"/>
        <w:gridCol w:w="2532"/>
        <w:gridCol w:w="1106"/>
        <w:gridCol w:w="1420"/>
        <w:gridCol w:w="921"/>
        <w:gridCol w:w="27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标识</w:t>
            </w:r>
          </w:p>
        </w:tc>
        <w:tc>
          <w:tcPr>
            <w:tcW w:w="3638"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中文名：氯化氢；盐酸</w:t>
            </w:r>
          </w:p>
        </w:tc>
        <w:tc>
          <w:tcPr>
            <w:tcW w:w="5049"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英文名：hydrogen chloride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3638"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分子式：HCI</w:t>
            </w:r>
          </w:p>
        </w:tc>
        <w:tc>
          <w:tcPr>
            <w:tcW w:w="2341"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分子量：36.46</w:t>
            </w:r>
          </w:p>
        </w:tc>
        <w:tc>
          <w:tcPr>
            <w:tcW w:w="2708"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CAS 号：7647－01－0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687"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危规号：22022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理化性质</w:t>
            </w:r>
          </w:p>
        </w:tc>
        <w:tc>
          <w:tcPr>
            <w:tcW w:w="8687"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性状：无色有刺激性气味的气体。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687"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溶解性：易溶于水。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熔点（℃）：－114.2</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沸点（℃）：－85.0</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相对密度（水＝1）：1.19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临界温度（℃）：51.4</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临界压力（MPa）：8.26</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相对密度（空气＝1）：1.27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燃烧热（KJ/mol）：</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最小点火能（mJ）：</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饱和蒸汽压（KPa）：4225.6（20℃）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燃烧爆炸危险性</w:t>
            </w: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燃烧性：不燃</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燃烧分解产物：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闪点（℃）：</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聚合危害：不聚合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爆炸下限（％）：</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稳定性：稳定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爆炸上限（％）：</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最大爆炸压力（MPa）：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32"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引燃温度（℃）：</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禁忌物：碱类、活性金属粉末。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687"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危险特性：无水氯化氢无腐蚀性，但遇水有强腐蚀性。能与一些活性金属粉末发生反应，放出氢气。遇氰化物能产生剧毒的氰化氢气体。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1" w:hRule="atLeast"/>
        </w:trPr>
        <w:tc>
          <w:tcPr>
            <w:tcW w:w="600"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687"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灭火方法：本品不燃。但与其它物品接触引起火灾时，消防人员须穿戴全身防护服，关闭火场中钢瓶的阀门，减弱火势，并用水喷淋保护去关闭阀门的人员。喷水冷却容器，可能的话将容器从火场移至空旷处。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600"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毒性</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接触限值：中国 MAC（mg/m3） 15</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前苏联 MAC（mg/m3）未制定标准</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美国 TVL－TWA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OSHA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5ppm，7.5〔上限值〕；美国 TLV－STEL</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 5ppm， 7.5mg/m3</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急性毒性：LD50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LC50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4600mg/m3，1 小时（大鼠吸入）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8" w:hRule="atLeast"/>
        </w:trPr>
        <w:tc>
          <w:tcPr>
            <w:tcW w:w="600"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对人体危害</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侵入途径：吸入。</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健康危害：本品对眼和呼吸道粘膜有强烈的刺激作用。急性中毒：出现头痛、头昏、恶心、眼痛、咳嗽、痰中带血、声音嘶哑、呼吸困难、胸闷、胸痛等。重者发生肺炎、肺水肿、肺不张。眼角膜可见溃疡或混浊。皮肤直接接触可出现大量粟粒样红色小丘疹而呈潮红痛热。慢性影响：长期较高浓度接触，可引起慢性支气管炎、胃肠功能障碍及牙齿酸蚀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2" w:hRule="atLeast"/>
        </w:trPr>
        <w:tc>
          <w:tcPr>
            <w:tcW w:w="600"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急救</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皮肤接触：立即脱出被污染的衣着，用大量清水冲洗，至少 15 分钟。就医。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眼睛接触：立即提起眼睑，用大量流动清水或生理盐水彻底冲洗至少 15 分钟。就医。吸入：迅速脱离现场至空气新鲜处，保持呼吸道通畅。如呼吸困难，给输氧。如呼吸停止，立即进行人工呼吸。就医。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00"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防护</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工程防护：严加密闭，提供充分的局部排风和全面通风。</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个人防护：空气中浓度超标时，佩戴过滤式防毒面具（半面罩）。紧急事态抢救或撤离时，建议佩戴空气呼吸器。必要时，戴化学安全防护眼镜。穿化学防护服；戴橡胶手套。工作毕，淋浴更衣。保持良好的卫生习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8" w:hRule="atLeast"/>
        </w:trPr>
        <w:tc>
          <w:tcPr>
            <w:tcW w:w="600"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泄漏处</w:t>
            </w: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迅速撤离泄漏污染区人员至上风处，并立即进行隔离，小泄漏时隔离 150m，大泄漏时隔离 300m，严格限制出入。建议应急处理人员戴自给正压式呼吸器，穿防毒服。从上风处进入现场。尽可能切断泄漏源。合理通风，加速扩散。喷氨水或其它稀碱</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液中和。构筑围堤或挖坑收容产生的大量废水。如有可能，将残余气或漏出气用排风机送至水洗塔或与塔相连的通风橱内。漏气容器要妥善处理，修复、检验后再用。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600" w:type="dxa"/>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贮运</w:t>
            </w:r>
          </w:p>
        </w:tc>
        <w:tc>
          <w:tcPr>
            <w:tcW w:w="8687"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包装标志：5，20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UN 编号：1050  包装分类：Ⅲ包装方法：钢质气瓶。</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储运条件：不燃有毒压缩气体。储存于阴凉、通风仓间内。仓内温度不宜超过 30℃。远离火种、热源，防止阳光直射。应与碱类、金属粉末、易燃或可燃物等分开存放。验收时要注意品名，注意验瓶日期，先进仓的先发用。搬运时要轻装轻卸，防止钢瓶及附件破损。运输按规定路线行驶，勿在居民区和人口稠密区停留。</w:t>
            </w:r>
          </w:p>
        </w:tc>
      </w:tr>
    </w:tbl>
    <w:p>
      <w:pPr>
        <w:spacing w:before="0" w:beforeLines="0" w:line="240" w:lineRule="exact"/>
        <w:ind w:firstLine="0" w:firstLineChars="0"/>
        <w:rPr>
          <w:color w:val="000000" w:themeColor="text1"/>
          <w:sz w:val="21"/>
          <w:szCs w:val="21"/>
          <w14:textFill>
            <w14:solidFill>
              <w14:schemeClr w14:val="tx1"/>
            </w14:solidFill>
          </w14:textFill>
        </w:rPr>
        <w:sectPr>
          <w:headerReference r:id="rId15" w:type="default"/>
          <w:footerReference r:id="rId16" w:type="default"/>
          <w:pgSz w:w="11910" w:h="16840"/>
          <w:pgMar w:top="2060" w:right="1180" w:bottom="1380" w:left="1200" w:header="1825" w:footer="1200" w:gutter="0"/>
          <w:cols w:space="720" w:num="1"/>
        </w:sectPr>
      </w:pPr>
    </w:p>
    <w:p>
      <w:pPr>
        <w:autoSpaceDE w:val="0"/>
        <w:autoSpaceDN w:val="0"/>
        <w:spacing w:before="0" w:beforeLines="0" w:line="240" w:lineRule="auto"/>
        <w:ind w:left="3175" w:right="2665" w:firstLine="0" w:firstLineChars="0"/>
        <w:jc w:val="center"/>
        <w:rPr>
          <w:rFonts w:ascii="仿宋" w:hAnsi="仿宋" w:eastAsia="仿宋" w:cs="仿宋"/>
          <w:b/>
          <w:color w:val="000000" w:themeColor="text1"/>
          <w:sz w:val="7"/>
          <w:szCs w:val="28"/>
          <w14:textFill>
            <w14:solidFill>
              <w14:schemeClr w14:val="tx1"/>
            </w14:solidFill>
          </w14:textFill>
        </w:rPr>
      </w:pPr>
      <w:r>
        <w:rPr>
          <w:rFonts w:cs="仿宋" w:asciiTheme="minorEastAsia" w:hAnsiTheme="minorEastAsia" w:eastAsiaTheme="minorEastAsia"/>
          <w:color w:val="000000" w:themeColor="text1"/>
          <w:kern w:val="0"/>
          <w:sz w:val="21"/>
          <w:szCs w:val="21"/>
          <w14:textFill>
            <w14:solidFill>
              <w14:schemeClr w14:val="tx1"/>
            </w14:solidFill>
          </w14:textFill>
        </w:rPr>
        <w:t>氨的理化性质</w:t>
      </w:r>
    </w:p>
    <w:tbl>
      <w:tblPr>
        <w:tblStyle w:val="5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1"/>
        <w:gridCol w:w="2590"/>
        <w:gridCol w:w="929"/>
        <w:gridCol w:w="795"/>
        <w:gridCol w:w="127"/>
        <w:gridCol w:w="810"/>
        <w:gridCol w:w="922"/>
        <w:gridCol w:w="2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标识</w:t>
            </w:r>
          </w:p>
        </w:tc>
        <w:tc>
          <w:tcPr>
            <w:tcW w:w="4314"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中文名：氨；氨气（液氨）</w:t>
            </w:r>
          </w:p>
        </w:tc>
        <w:tc>
          <w:tcPr>
            <w:tcW w:w="4568"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英文名：ammonia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351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分子式：NH3</w:t>
            </w:r>
          </w:p>
        </w:tc>
        <w:tc>
          <w:tcPr>
            <w:tcW w:w="2654"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分子量：17.03</w:t>
            </w:r>
          </w:p>
        </w:tc>
        <w:tc>
          <w:tcPr>
            <w:tcW w:w="2709"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CAS 号：7664－41－7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危规号：23003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理化性质</w:t>
            </w:r>
          </w:p>
        </w:tc>
        <w:tc>
          <w:tcPr>
            <w:tcW w:w="4441"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性状：无色有刺激性恶臭的气体。</w:t>
            </w:r>
          </w:p>
        </w:tc>
        <w:tc>
          <w:tcPr>
            <w:tcW w:w="4441"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溶解性：易溶于水、乙醇、乙醚。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熔点（℃）：－77.7</w:t>
            </w:r>
          </w:p>
        </w:tc>
        <w:tc>
          <w:tcPr>
            <w:tcW w:w="2661" w:type="dxa"/>
            <w:gridSpan w:val="4"/>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沸点（℃）：－33.5</w:t>
            </w:r>
          </w:p>
        </w:tc>
        <w:tc>
          <w:tcPr>
            <w:tcW w:w="3631" w:type="dxa"/>
            <w:gridSpan w:val="2"/>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相对密度（水＝1）：0.82（－79℃）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临界温度（℃）：132.5</w:t>
            </w:r>
          </w:p>
        </w:tc>
        <w:tc>
          <w:tcPr>
            <w:tcW w:w="2661" w:type="dxa"/>
            <w:gridSpan w:val="4"/>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临界压力（ MPa）：11.40</w:t>
            </w:r>
          </w:p>
        </w:tc>
        <w:tc>
          <w:tcPr>
            <w:tcW w:w="3631" w:type="dxa"/>
            <w:gridSpan w:val="2"/>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相对密度（空气＝1）：0.6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饱和蒸汽压（ KPa ） ： 506.62（4.7℃）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燃烧爆炸危险性</w:t>
            </w: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燃烧性：易燃</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燃烧分解产物：氧化氮、氨。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闪点（℃）：</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聚合危害：不聚合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爆炸下限（％）：15.7</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稳定性：稳定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爆炸上限（％）：27.4</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最大爆炸压力（MPa）：0.580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引燃温度（℃）：651</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禁忌物：卤素、酰基氯、酸类、氯仿、强氧化剂。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危险特性：与空气混合能形成爆炸性混合物。遇明火、高热能引起燃烧爆炸。与氟、</w:t>
            </w: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氯等接触会发生剧烈的化学反应。若遇高热，容器内压增大，有开裂和爆炸的危险。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灭火方法：消防人员必须穿戴全身防火防毒服。切断气源。若不能立即切断气源，则不允许熄灭正在燃烧的气体。喷水冷却容器，可能的话将容器从火场移至空旷处。灭火剂：雾状水、抗溶性泡沫、二氧化碳、砂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4"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毒性</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接触限值：中国 MAC（mg/m3） 30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前苏联 MAC（mg/m3）20</w:t>
            </w:r>
            <w:r>
              <w:rPr>
                <w:rFonts w:hint="eastAsia" w:cs="仿宋" w:asciiTheme="minorEastAsia" w:hAnsiTheme="minorEastAsia" w:eastAsiaTheme="minorEastAsia"/>
                <w:color w:val="000000" w:themeColor="text1"/>
                <w:sz w:val="21"/>
                <w:szCs w:val="21"/>
                <w14:textFill>
                  <w14:solidFill>
                    <w14:schemeClr w14:val="tx1"/>
                  </w14:solidFill>
                </w14:textFill>
              </w:rPr>
              <w:t xml:space="preserve"> </w:t>
            </w:r>
            <w:r>
              <w:rPr>
                <w:rFonts w:cs="仿宋" w:asciiTheme="minorEastAsia" w:hAnsiTheme="minorEastAsia" w:eastAsiaTheme="minorEastAsia"/>
                <w:color w:val="000000" w:themeColor="text1"/>
                <w:sz w:val="21"/>
                <w:szCs w:val="21"/>
                <w14:textFill>
                  <w14:solidFill>
                    <w14:schemeClr w14:val="tx1"/>
                  </w14:solidFill>
                </w14:textFill>
              </w:rPr>
              <w:t>美国 TVL－TWA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OSHA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50ppm，34 mg/m3；</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25ppm，17mg/m3</w:t>
            </w:r>
            <w:r>
              <w:rPr>
                <w:rFonts w:hint="eastAsia" w:cs="仿宋" w:asciiTheme="minorEastAsia" w:hAnsiTheme="minorEastAsia" w:eastAsiaTheme="minorEastAsia"/>
                <w:color w:val="000000" w:themeColor="text1"/>
                <w:sz w:val="21"/>
                <w:szCs w:val="21"/>
                <w14:textFill>
                  <w14:solidFill>
                    <w14:schemeClr w14:val="tx1"/>
                  </w14:solidFill>
                </w14:textFill>
              </w:rPr>
              <w:t xml:space="preserve">  </w:t>
            </w:r>
            <w:r>
              <w:rPr>
                <w:rFonts w:cs="仿宋" w:asciiTheme="minorEastAsia" w:hAnsiTheme="minorEastAsia" w:eastAsiaTheme="minorEastAsia"/>
                <w:color w:val="000000" w:themeColor="text1"/>
                <w:sz w:val="21"/>
                <w:szCs w:val="21"/>
                <w14:textFill>
                  <w14:solidFill>
                    <w14:schemeClr w14:val="tx1"/>
                  </w14:solidFill>
                </w14:textFill>
              </w:rPr>
              <w:t>美国</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TLV－STEL</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35ppm，24mg/m3</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急性毒性： LD50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350mg/kg（大鼠经口）</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LC50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1390mg/m3，4 小时（大鼠吸入）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86"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对人体危害</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侵入途径：吸入。</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健康危害：低浓度氨对粘膜有刺激作用，高浓度可造成组织溶解坏死。急性中毒： 轻度者出现流泪、咽痛、声音嘶哑、咳嗽、咯痰等；眼结膜、鼻粘膜、咽部充血、水肿；胸部 X 线征象符合支气管炎或支气管周围炎。中度中毒上述症状加剧，出现呼吸困难、紫绀；胸部 X 线征象符合肺炎或间质性肺炎。严重者可发生中毒性肺水肿，或有呼吸窘迫综合征，患者剧烈咳嗽、咯大量粉红色泡沫痰、呼吸窘迫、谵妄、昏迷、休克等。可发生喉头水肿或支气管粘膜坏死脱落窒息。高浓度氨可引起反射性呼吸停止。液氨或高浓度氨可致眼灼伤；液氨可致皮肤灼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7"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急救</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皮肤接触：立即脱出被污染的衣着，用 2％硼酸液或大量清水彻底冲洗。就医。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眼睛接触：立即提起眼睑，用大量流动清水或生理盐水彻底冲洗至少 15 分钟。就医。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吸入：迅速脱离现场至空气新鲜处，保持呼吸道通畅。如呼吸困难，给输氧。如呼吸停止，立即进行人工呼吸。就医。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88"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防护</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工程防护：严加密闭，提供充分的局部排风和全面通风。提供安全淋浴和洗眼设备。</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个人防护：空气中浓度超标时，建议佩戴过滤式防毒面具（半面罩）。紧急事态抢救或撤离时，佩戴空气呼吸器；戴化学安全防护眼镜；穿防静电工作服；戴橡胶手套。工作现场禁止吸烟、进食和饮水。工作毕，淋浴更衣，保持良好的卫生习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泄漏处理</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迅速撤离泄漏污染区人员至上风处，并立即隔离 150m，严格限制出入。切断火源。建议应急处理人员戴自给正压式呼吸器，穿防毒服。尽可能切断泄漏源。合理通风， 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30"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贮运</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包装标志：6，7</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UN 编号：1005</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包装分类：Ⅱ包装方法：钢质气瓶。 储运条件：易燃、腐蚀性压缩气体。储存于阴凉、干燥、通风良好的仓间。远离火种、热源。防止阳光直射。应与卤素（氟、氯、溴）、酸类等分开存放。罐储时要有防火防爆技术措施。配备相应品种和数量的消防器材。禁止使用易产生火花的机械设备和工具。验收时要注意品名，注意验瓶日期，先进仓的先发用。槽车运送时要灌装适量，不可超压超量运输。搬运时要轻装轻卸，防止钢瓶和附件损坏。运输按规定路线行驶，中途不得停留。</w:t>
            </w:r>
          </w:p>
        </w:tc>
      </w:tr>
    </w:tbl>
    <w:p>
      <w:pPr>
        <w:autoSpaceDE w:val="0"/>
        <w:autoSpaceDN w:val="0"/>
        <w:spacing w:before="0" w:beforeLines="0" w:line="240" w:lineRule="auto"/>
        <w:ind w:left="3175" w:leftChars="1323" w:right="2665" w:firstLine="630" w:firstLineChars="300"/>
        <w:rPr>
          <w:rFonts w:cs="仿宋" w:asciiTheme="minorEastAsia" w:hAnsiTheme="minorEastAsia" w:eastAsiaTheme="minorEastAsia"/>
          <w:color w:val="000000" w:themeColor="text1"/>
          <w:kern w:val="0"/>
          <w:sz w:val="21"/>
          <w:szCs w:val="21"/>
          <w14:textFill>
            <w14:solidFill>
              <w14:schemeClr w14:val="tx1"/>
            </w14:solidFill>
          </w14:textFill>
        </w:rPr>
      </w:pPr>
      <w:r>
        <w:rPr>
          <w:rFonts w:cs="仿宋" w:asciiTheme="minorEastAsia" w:hAnsiTheme="minorEastAsia" w:eastAsiaTheme="minorEastAsia"/>
          <w:color w:val="000000" w:themeColor="text1"/>
          <w:kern w:val="0"/>
          <w:sz w:val="21"/>
          <w:szCs w:val="21"/>
          <w14:textFill>
            <w14:solidFill>
              <w14:schemeClr w14:val="tx1"/>
            </w14:solidFill>
          </w14:textFill>
        </w:rPr>
        <w:t>甲烷</w:t>
      </w:r>
      <w:r>
        <w:rPr>
          <w:rFonts w:hint="eastAsia" w:cs="仿宋" w:asciiTheme="minorEastAsia" w:hAnsiTheme="minorEastAsia" w:eastAsiaTheme="minorEastAsia"/>
          <w:color w:val="000000" w:themeColor="text1"/>
          <w:kern w:val="0"/>
          <w:sz w:val="21"/>
          <w:szCs w:val="21"/>
          <w14:textFill>
            <w14:solidFill>
              <w14:schemeClr w14:val="tx1"/>
            </w14:solidFill>
          </w14:textFill>
        </w:rPr>
        <w:t>理化性质</w:t>
      </w:r>
    </w:p>
    <w:tbl>
      <w:tblPr>
        <w:tblStyle w:val="54"/>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3"/>
        <w:gridCol w:w="2294"/>
        <w:gridCol w:w="327"/>
        <w:gridCol w:w="184"/>
        <w:gridCol w:w="489"/>
        <w:gridCol w:w="1136"/>
        <w:gridCol w:w="956"/>
        <w:gridCol w:w="26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0" w:hRule="atLeast"/>
          <w:jc w:val="center"/>
        </w:trPr>
        <w:tc>
          <w:tcPr>
            <w:tcW w:w="463" w:type="dxa"/>
            <w:vMerge w:val="restart"/>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标识</w:t>
            </w:r>
          </w:p>
        </w:tc>
        <w:tc>
          <w:tcPr>
            <w:tcW w:w="3294" w:type="dxa"/>
            <w:gridSpan w:val="4"/>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中文名：甲烷</w:t>
            </w:r>
          </w:p>
        </w:tc>
        <w:tc>
          <w:tcPr>
            <w:tcW w:w="4772" w:type="dxa"/>
            <w:gridSpan w:val="3"/>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英文名：methane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56"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805" w:type="dxa"/>
            <w:gridSpan w:val="3"/>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分子式：CH4</w:t>
            </w:r>
          </w:p>
        </w:tc>
        <w:tc>
          <w:tcPr>
            <w:tcW w:w="2581" w:type="dxa"/>
            <w:gridSpan w:val="3"/>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分子量：16.04</w:t>
            </w:r>
          </w:p>
        </w:tc>
        <w:tc>
          <w:tcPr>
            <w:tcW w:w="2680" w:type="dxa"/>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CAS号：74-82-8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危规号：21007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86" w:hRule="atLeast"/>
          <w:jc w:val="center"/>
        </w:trPr>
        <w:tc>
          <w:tcPr>
            <w:tcW w:w="463" w:type="dxa"/>
            <w:vMerge w:val="restart"/>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理化性质</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性状：无色无臭气体。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溶解性： 微溶于水，溶于醇、乙醚。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294" w:type="dxa"/>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熔点（</w:t>
            </w:r>
            <w:r>
              <w:rPr>
                <w:rFonts w:hint="eastAsia" w:asciiTheme="minorEastAsia" w:hAnsiTheme="minorEastAsia" w:eastAsiaTheme="minorEastAsia"/>
                <w:sz w:val="21"/>
                <w:szCs w:val="21"/>
              </w:rPr>
              <w:t>℃</w:t>
            </w:r>
            <w:r>
              <w:rPr>
                <w:rFonts w:asciiTheme="minorEastAsia" w:hAnsiTheme="minorEastAsia" w:eastAsiaTheme="minorEastAsia"/>
                <w:sz w:val="21"/>
                <w:szCs w:val="21"/>
              </w:rPr>
              <w:t>）：-182.5</w:t>
            </w:r>
          </w:p>
        </w:tc>
        <w:tc>
          <w:tcPr>
            <w:tcW w:w="2136" w:type="dxa"/>
            <w:gridSpan w:val="4"/>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沸点（</w:t>
            </w:r>
            <w:r>
              <w:rPr>
                <w:rFonts w:hint="eastAsia" w:asciiTheme="minorEastAsia" w:hAnsiTheme="minorEastAsia" w:eastAsiaTheme="minorEastAsia"/>
                <w:sz w:val="21"/>
                <w:szCs w:val="21"/>
              </w:rPr>
              <w:t>℃</w:t>
            </w:r>
            <w:r>
              <w:rPr>
                <w:rFonts w:asciiTheme="minorEastAsia" w:hAnsiTheme="minorEastAsia" w:eastAsiaTheme="minorEastAsia"/>
                <w:sz w:val="21"/>
                <w:szCs w:val="21"/>
              </w:rPr>
              <w:t>）：-161.5</w:t>
            </w:r>
          </w:p>
        </w:tc>
        <w:tc>
          <w:tcPr>
            <w:tcW w:w="3636"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相对密度（水＝1）：0.42(-164</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25"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294" w:type="dxa"/>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临界温度（</w:t>
            </w:r>
            <w:r>
              <w:rPr>
                <w:rFonts w:hint="eastAsia" w:asciiTheme="minorEastAsia" w:hAnsiTheme="minorEastAsia" w:eastAsiaTheme="minorEastAsia"/>
                <w:sz w:val="21"/>
                <w:szCs w:val="21"/>
              </w:rPr>
              <w:t>℃</w:t>
            </w:r>
            <w:r>
              <w:rPr>
                <w:rFonts w:asciiTheme="minorEastAsia" w:hAnsiTheme="minorEastAsia" w:eastAsiaTheme="minorEastAsia"/>
                <w:sz w:val="21"/>
                <w:szCs w:val="21"/>
              </w:rPr>
              <w:t>）：-82.6</w:t>
            </w:r>
          </w:p>
        </w:tc>
        <w:tc>
          <w:tcPr>
            <w:tcW w:w="2136" w:type="dxa"/>
            <w:gridSpan w:val="4"/>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临界压力（MPa）：4.59</w:t>
            </w:r>
          </w:p>
        </w:tc>
        <w:tc>
          <w:tcPr>
            <w:tcW w:w="3636"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相对密度（空气＝1）：0.55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25"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294" w:type="dxa"/>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燃烧热（KJ/mol）：889.5</w:t>
            </w:r>
          </w:p>
        </w:tc>
        <w:tc>
          <w:tcPr>
            <w:tcW w:w="2136" w:type="dxa"/>
            <w:gridSpan w:val="4"/>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最小点火能（mJ）：</w:t>
            </w:r>
          </w:p>
        </w:tc>
        <w:tc>
          <w:tcPr>
            <w:tcW w:w="3636"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饱和蒸汽压（kPa）：53.32(-168.8</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52" w:hRule="atLeast"/>
          <w:jc w:val="center"/>
        </w:trPr>
        <w:tc>
          <w:tcPr>
            <w:tcW w:w="463" w:type="dxa"/>
            <w:vMerge w:val="restart"/>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燃烧爆炸危险性</w:t>
            </w:r>
          </w:p>
        </w:tc>
        <w:tc>
          <w:tcPr>
            <w:tcW w:w="2621"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燃烧性：易燃</w:t>
            </w:r>
          </w:p>
        </w:tc>
        <w:tc>
          <w:tcPr>
            <w:tcW w:w="5445" w:type="dxa"/>
            <w:gridSpan w:val="5"/>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 xml:space="preserve">燃烧分解产物：一氧化碳、二氧化碳。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55"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621"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闪点（</w:t>
            </w:r>
            <w:r>
              <w:rPr>
                <w:rFonts w:hint="eastAsia" w:asciiTheme="minorEastAsia" w:hAnsiTheme="minorEastAsia" w:eastAsiaTheme="minorEastAsia"/>
                <w:sz w:val="21"/>
                <w:szCs w:val="21"/>
              </w:rPr>
              <w:t>℃</w:t>
            </w:r>
            <w:r>
              <w:rPr>
                <w:rFonts w:asciiTheme="minorEastAsia" w:hAnsiTheme="minorEastAsia" w:eastAsiaTheme="minorEastAsia"/>
                <w:sz w:val="21"/>
                <w:szCs w:val="21"/>
              </w:rPr>
              <w:t>）：-188</w:t>
            </w:r>
          </w:p>
        </w:tc>
        <w:tc>
          <w:tcPr>
            <w:tcW w:w="5445" w:type="dxa"/>
            <w:gridSpan w:val="5"/>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聚合危害：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1"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621"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爆炸下限（％）：5.3</w:t>
            </w:r>
          </w:p>
        </w:tc>
        <w:tc>
          <w:tcPr>
            <w:tcW w:w="5445" w:type="dxa"/>
            <w:gridSpan w:val="5"/>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稳定性：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31"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621"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爆炸上限（％）：15</w:t>
            </w:r>
          </w:p>
        </w:tc>
        <w:tc>
          <w:tcPr>
            <w:tcW w:w="5445" w:type="dxa"/>
            <w:gridSpan w:val="5"/>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避免接触的条件：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0"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2621" w:type="dxa"/>
            <w:gridSpan w:val="2"/>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引燃温度（</w:t>
            </w:r>
            <w:r>
              <w:rPr>
                <w:rFonts w:hint="eastAsia" w:asciiTheme="minorEastAsia" w:hAnsiTheme="minorEastAsia" w:eastAsiaTheme="minorEastAsia"/>
                <w:sz w:val="21"/>
                <w:szCs w:val="21"/>
              </w:rPr>
              <w:t>℃</w:t>
            </w:r>
            <w:r>
              <w:rPr>
                <w:rFonts w:asciiTheme="minorEastAsia" w:hAnsiTheme="minorEastAsia" w:eastAsiaTheme="minorEastAsia"/>
                <w:sz w:val="21"/>
                <w:szCs w:val="21"/>
              </w:rPr>
              <w:t>）：538</w:t>
            </w:r>
          </w:p>
        </w:tc>
        <w:tc>
          <w:tcPr>
            <w:tcW w:w="5445" w:type="dxa"/>
            <w:gridSpan w:val="5"/>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禁忌物：强氧化剂、氟、氯。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75"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危险特性：易燃，与空气混合能形成爆炸性混合物，遇热源和明火有燃烧爆炸的危险。与五氧化溴、氯气、次氯酸、三氟化氮、液氧、二氟化氧及其它强氧化剂接触剧烈反应。</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463" w:type="dxa"/>
            <w:vMerge w:val="continue"/>
            <w:vAlign w:val="center"/>
          </w:tcPr>
          <w:p>
            <w:pPr>
              <w:spacing w:before="0" w:beforeLines="0" w:line="240" w:lineRule="exact"/>
              <w:ind w:firstLine="0" w:firstLineChars="0"/>
              <w:rPr>
                <w:rFonts w:asciiTheme="minorEastAsia" w:hAnsiTheme="minorEastAsia" w:eastAsiaTheme="minorEastAsia"/>
                <w:sz w:val="21"/>
                <w:szCs w:val="21"/>
              </w:rPr>
            </w:pP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灭火方法：切断气源。若不能切断气源，则不允许熄灭泄漏处的火焰。喷水冷却容器，可能的话将容器从火场移至空旷处。灭火剂：雾状水、泡沫、二氧化碳、干粉。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5"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毒性</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TLVTN： ACGIH 窒息性气体</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TLVWN： 未制定标准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11"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对人体危害</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 xml:space="preserve">侵入途径： </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康危害：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64"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急救</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皮肤接触：若有冻伤，就医治疗。</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 xml:space="preserve">眼睛接触： </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吸入：迅速脱离现场至空气新鲜处。保持呼吸道通畅。如呼吸困难，给输氧。如呼吸停止，立即进行人工呼吸。就医。</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 xml:space="preserve">食入：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32"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防护</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工程控制：生产过程密闭，全面通风。</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呼吸系统防护：一般不需要特殊防护，但建议特殊情况下，佩戴自吸过滤式防毒面具（半面罩）。眼睛防护：一般不需要特殊防护，高浓度接触时可戴安全防护眼镜。</w:t>
            </w:r>
          </w:p>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身体防护：穿防静电工作服。手防护：戴一般作业防护手套。其他防护：工作现场严禁吸烟。避免长期反复接触。进入罐、限制性空间或其它高浓度区作业，须有人监护。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50"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泄漏处理</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463" w:type="dxa"/>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贮运</w:t>
            </w:r>
          </w:p>
        </w:tc>
        <w:tc>
          <w:tcPr>
            <w:tcW w:w="8066" w:type="dxa"/>
            <w:gridSpan w:val="7"/>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储存于阴凉、通风的库房。远离火种、热源。库温不宜超过30</w:t>
            </w:r>
            <w:r>
              <w:rPr>
                <w:rFonts w:hint="eastAsia" w:asciiTheme="minorEastAsia" w:hAnsiTheme="minorEastAsia" w:eastAsiaTheme="minorEastAsia"/>
                <w:sz w:val="21"/>
                <w:szCs w:val="21"/>
              </w:rPr>
              <w:t>℃</w:t>
            </w:r>
            <w:r>
              <w:rPr>
                <w:rFonts w:asciiTheme="minorEastAsia" w:hAnsiTheme="minorEastAsia" w:eastAsiaTheme="minorEastAsia"/>
                <w:sz w:val="21"/>
                <w:szCs w:val="21"/>
              </w:rPr>
              <w:t>。应与氧化剂等分开存放，切忌混储。采用防爆型照明、通风设施。禁止使用易产生火花的机械设备和工具。储区应备有泄漏应急处理设备。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628" w:hRule="atLeast"/>
          <w:jc w:val="center"/>
        </w:trPr>
        <w:tc>
          <w:tcPr>
            <w:tcW w:w="463" w:type="dxa"/>
            <w:shd w:val="clear" w:color="auto" w:fill="FFFFFF"/>
            <w:vAlign w:val="center"/>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操作注意事项</w:t>
            </w:r>
          </w:p>
        </w:tc>
        <w:tc>
          <w:tcPr>
            <w:tcW w:w="8066" w:type="dxa"/>
            <w:gridSpan w:val="7"/>
            <w:shd w:val="clear" w:color="auto" w:fill="FFFFFF"/>
          </w:tcPr>
          <w:p>
            <w:pPr>
              <w:spacing w:before="0" w:beforeLines="0" w:line="24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密闭操作，全面通风。操作人员必须经过专门培训，严格遵守操作规程。远离火种、热源，工作场所严禁吸烟。使用防爆型的通风系统和设备。防止气体泄漏到工作场所空气中。避免与氧化剂接触。在传送过程中，钢瓶和容器必须接地和跨接，防止产生静电。搬运时轻装轻卸，防止钢瓶及附件破损。配备相应品种和数量的消防器材及泄漏应急处理设备。</w:t>
            </w:r>
          </w:p>
        </w:tc>
      </w:tr>
    </w:tbl>
    <w:p>
      <w:pPr>
        <w:spacing w:before="156"/>
        <w:ind w:firstLine="480"/>
        <w:rPr>
          <w:rFonts w:ascii="宋体" w:hAnsi="宋体" w:cs="宋体"/>
        </w:rPr>
      </w:pPr>
      <w:bookmarkStart w:id="184" w:name="_Toc504738815"/>
      <w:bookmarkStart w:id="185" w:name="_Toc507245782"/>
    </w:p>
    <w:p>
      <w:pPr>
        <w:spacing w:before="0" w:beforeLines="0" w:line="240" w:lineRule="exact"/>
        <w:ind w:firstLine="0" w:firstLineChars="0"/>
        <w:rPr>
          <w:rFonts w:asciiTheme="minorEastAsia" w:hAnsiTheme="minorEastAsia" w:eastAsiaTheme="minorEastAsia"/>
          <w:sz w:val="21"/>
          <w:szCs w:val="21"/>
        </w:rPr>
      </w:pPr>
      <w:r>
        <w:rPr>
          <w:rFonts w:hint="eastAsia"/>
        </w:rPr>
        <w:t xml:space="preserve">                 </w:t>
      </w:r>
      <w:r>
        <w:t xml:space="preserve"> </w:t>
      </w:r>
      <w:r>
        <w:rPr>
          <w:rFonts w:asciiTheme="minorEastAsia" w:hAnsiTheme="minorEastAsia" w:eastAsiaTheme="minorEastAsia"/>
          <w:sz w:val="21"/>
          <w:szCs w:val="21"/>
        </w:rPr>
        <w:t xml:space="preserve"> </w:t>
      </w:r>
      <w:bookmarkStart w:id="186" w:name="_Toc406417694"/>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丙烯</w:t>
      </w:r>
      <w:bookmarkEnd w:id="184"/>
      <w:bookmarkEnd w:id="185"/>
      <w:bookmarkEnd w:id="186"/>
      <w:r>
        <w:rPr>
          <w:rFonts w:hint="eastAsia" w:asciiTheme="minorEastAsia" w:hAnsiTheme="minorEastAsia" w:eastAsiaTheme="minorEastAsia"/>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533"/>
        <w:gridCol w:w="178"/>
        <w:gridCol w:w="359"/>
        <w:gridCol w:w="179"/>
        <w:gridCol w:w="570"/>
        <w:gridCol w:w="862"/>
        <w:gridCol w:w="7"/>
        <w:gridCol w:w="709"/>
        <w:gridCol w:w="264"/>
        <w:gridCol w:w="274"/>
        <w:gridCol w:w="7"/>
        <w:gridCol w:w="350"/>
        <w:gridCol w:w="220"/>
        <w:gridCol w:w="677"/>
        <w:gridCol w:w="366"/>
        <w:gridCol w:w="374"/>
        <w:gridCol w:w="518"/>
        <w:gridCol w:w="183"/>
        <w:gridCol w:w="400"/>
        <w:gridCol w:w="491"/>
        <w:gridCol w:w="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5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22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丙烯</w:t>
            </w:r>
          </w:p>
        </w:tc>
        <w:tc>
          <w:tcPr>
            <w:tcW w:w="125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23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Propylene；propene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5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709" w:type="dxa"/>
            <w:gridSpan w:val="1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无色有烃类气味的气体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45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熔点（℃）-185.25</w:t>
            </w:r>
          </w:p>
        </w:tc>
        <w:tc>
          <w:tcPr>
            <w:tcW w:w="1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沸点（℃）-47.7</w:t>
            </w:r>
          </w:p>
        </w:tc>
        <w:tc>
          <w:tcPr>
            <w:tcW w:w="226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闪点（℃）-108</w:t>
            </w:r>
          </w:p>
        </w:tc>
        <w:tc>
          <w:tcPr>
            <w:tcW w:w="249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173"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28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0.5</w:t>
            </w:r>
          </w:p>
        </w:tc>
        <w:tc>
          <w:tcPr>
            <w:tcW w:w="851" w:type="dxa"/>
            <w:gridSpan w:val="4"/>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41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49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173"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28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1.48</w:t>
            </w:r>
          </w:p>
        </w:tc>
        <w:tc>
          <w:tcPr>
            <w:tcW w:w="851" w:type="dxa"/>
            <w:gridSpan w:val="4"/>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41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49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71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59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1.0~15.0</w:t>
            </w:r>
          </w:p>
        </w:tc>
        <w:tc>
          <w:tcPr>
            <w:tcW w:w="85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3908"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332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716"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9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63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518"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07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89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45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601" w:type="dxa"/>
            <w:gridSpan w:val="1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45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1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第2.1类易燃气体</w:t>
            </w:r>
          </w:p>
        </w:tc>
        <w:tc>
          <w:tcPr>
            <w:tcW w:w="226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49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甲、甲</w:t>
            </w:r>
            <w:r>
              <w:rPr>
                <w:rFonts w:asciiTheme="minorEastAsia" w:hAnsiTheme="minorEastAsia" w:eastAsiaTheme="minorEastAsia"/>
                <w:snapToGrid w:val="0"/>
                <w:kern w:val="0"/>
                <w:sz w:val="21"/>
                <w:szCs w:val="21"/>
                <w:vertAlign w:val="subscript"/>
              </w:rPr>
              <w:t>A</w:t>
            </w:r>
            <w:r>
              <w:rPr>
                <w:rFonts w:asciiTheme="minorEastAsia" w:hAnsiTheme="minorEastAsia" w:eastAsiaTheme="minorEastAsia"/>
                <w:snapToGrid w:val="0"/>
                <w:kern w:val="0"/>
                <w:sz w:val="21"/>
                <w:szCs w:val="21"/>
              </w:rPr>
              <w:t>（液化）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45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26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10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390"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8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4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21018</w:t>
            </w:r>
          </w:p>
        </w:tc>
        <w:tc>
          <w:tcPr>
            <w:tcW w:w="125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6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1077</w:t>
            </w:r>
          </w:p>
        </w:tc>
        <w:tc>
          <w:tcPr>
            <w:tcW w:w="107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790"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115-07-1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8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69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w:t>
            </w:r>
          </w:p>
        </w:tc>
        <w:tc>
          <w:tcPr>
            <w:tcW w:w="16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86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与空气混合能形成爆炸性混合物，遇明火、高热能引起燃烧爆炸。其蒸气比空气重，能在较低处扩散到相当远的地方，遇明火会引着回燃。若遇高热，容器内压增大，有开裂和爆炸的危险。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切断气源。若不能立即切断气源，则不允许熄灭正在燃烧的气体，喷水冷却容器，可能的话将容器从火场移至空旷处。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对人的麻醉力比乙烯强。急性中毒：人吸入丙烯可引起意识丧失，当浓度为15%时，需30分钟；24%时，需3分钟；35~40%时，需20秒钟；40%以上时，仅需6秒钟，并引起呕吐。慢性影响：长期接触丙烯，可引起头昏、乏力、全身不适、思维不集中。个别人有胃肠道功能紊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6"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迅速撤离泄漏污染区人员至上风，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全面通风。操作人员必须经过专门培训，严格遵守操作规程。远离火种、热源，工作场所严禁吸烟。使用防爆型的通风系统和设备。防止气体泄漏到工作场所的空气中。避免与氧化剂、酸类接触。在传送过程中，钢瓶和容器必须接地和跨接，防止产生静电。搬运时轻装轻卸，防止钢瓶和附件破损。配备相应品种和数量的消防器材及泄漏应急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tblHeader/>
          <w:jc w:val="center"/>
        </w:trPr>
        <w:tc>
          <w:tcPr>
            <w:tcW w:w="64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8420" w:type="dxa"/>
            <w:gridSpan w:val="21"/>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储存于阴凉、通风库房内。库房内温度不宜超过30度。应与氧化剂、酸类分开存放，切忌混储。采用防爆型照明、通风设施。禁止使用易产生火花的机械设备和工具。储区应备用泄漏应急处理设备。</w:t>
            </w:r>
          </w:p>
        </w:tc>
      </w:tr>
    </w:tbl>
    <w:p>
      <w:pPr>
        <w:spacing w:before="0" w:beforeLines="0" w:line="300" w:lineRule="exact"/>
        <w:ind w:firstLine="0" w:firstLineChars="0"/>
      </w:pPr>
    </w:p>
    <w:p>
      <w:pPr>
        <w:spacing w:before="0" w:beforeLines="0" w:line="300" w:lineRule="exact"/>
        <w:ind w:firstLine="0" w:firstLineChars="0"/>
        <w:rPr>
          <w:rFonts w:asciiTheme="minorEastAsia" w:hAnsiTheme="minorEastAsia" w:eastAsiaTheme="minorEastAsia"/>
          <w:sz w:val="21"/>
          <w:szCs w:val="21"/>
        </w:rPr>
      </w:pPr>
      <w:r>
        <w:rPr>
          <w:rFonts w:hint="eastAsia"/>
        </w:rPr>
        <w:t xml:space="preserve">            </w:t>
      </w: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 xml:space="preserve">            丙烷理化性质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328"/>
        <w:gridCol w:w="169"/>
        <w:gridCol w:w="336"/>
        <w:gridCol w:w="167"/>
        <w:gridCol w:w="169"/>
        <w:gridCol w:w="168"/>
        <w:gridCol w:w="166"/>
        <w:gridCol w:w="846"/>
        <w:gridCol w:w="175"/>
        <w:gridCol w:w="335"/>
        <w:gridCol w:w="164"/>
        <w:gridCol w:w="175"/>
        <w:gridCol w:w="339"/>
        <w:gridCol w:w="165"/>
        <w:gridCol w:w="165"/>
        <w:gridCol w:w="177"/>
        <w:gridCol w:w="168"/>
        <w:gridCol w:w="507"/>
        <w:gridCol w:w="78"/>
        <w:gridCol w:w="91"/>
        <w:gridCol w:w="168"/>
        <w:gridCol w:w="170"/>
        <w:gridCol w:w="164"/>
        <w:gridCol w:w="510"/>
        <w:gridCol w:w="168"/>
        <w:gridCol w:w="376"/>
        <w:gridCol w:w="468"/>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3"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040" w:type="dxa"/>
            <w:gridSpan w:val="11"/>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丙烷</w:t>
            </w:r>
          </w:p>
        </w:tc>
        <w:tc>
          <w:tcPr>
            <w:tcW w:w="1182"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034" w:type="dxa"/>
            <w:gridSpan w:val="10"/>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Propane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3"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256" w:type="dxa"/>
            <w:gridSpan w:val="2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无色气体，纯品无臭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04" w:type="dxa"/>
            <w:gridSpan w:val="2"/>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841"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-187.6</w:t>
            </w:r>
          </w:p>
        </w:tc>
        <w:tc>
          <w:tcPr>
            <w:tcW w:w="1180"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849"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-42.1</w:t>
            </w:r>
          </w:p>
        </w:tc>
        <w:tc>
          <w:tcPr>
            <w:tcW w:w="1014"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178"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-104</w:t>
            </w:r>
          </w:p>
        </w:tc>
        <w:tc>
          <w:tcPr>
            <w:tcW w:w="1522"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841"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4" w:type="dxa"/>
            <w:gridSpan w:val="2"/>
            <w:vMerge w:val="restart"/>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009"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522"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0.58/-44.5</w:t>
            </w:r>
          </w:p>
        </w:tc>
        <w:tc>
          <w:tcPr>
            <w:tcW w:w="1185" w:type="dxa"/>
            <w:gridSpan w:val="6"/>
            <w:vMerge w:val="restart"/>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182"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527"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4" w:type="dxa"/>
            <w:gridSpan w:val="2"/>
            <w:vMerge w:val="continue"/>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p>
        </w:tc>
        <w:tc>
          <w:tcPr>
            <w:tcW w:w="1009"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522"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1.56</w:t>
            </w:r>
          </w:p>
        </w:tc>
        <w:tc>
          <w:tcPr>
            <w:tcW w:w="1185" w:type="dxa"/>
            <w:gridSpan w:val="6"/>
            <w:vMerge w:val="continue"/>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p>
        </w:tc>
        <w:tc>
          <w:tcPr>
            <w:tcW w:w="1182"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527"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微毒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9"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026" w:type="dxa"/>
            <w:gridSpan w:val="7"/>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2.1~9.5</w:t>
            </w:r>
          </w:p>
        </w:tc>
        <w:tc>
          <w:tcPr>
            <w:tcW w:w="843"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051" w:type="dxa"/>
            <w:gridSpan w:val="1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25" w:type="dxa"/>
            <w:gridSpan w:val="9"/>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674"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44"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p>
        </w:tc>
        <w:tc>
          <w:tcPr>
            <w:tcW w:w="1021"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1012"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p>
        </w:tc>
        <w:tc>
          <w:tcPr>
            <w:tcW w:w="1012"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841"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45"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584" w:type="dxa"/>
            <w:gridSpan w:val="2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45" w:type="dxa"/>
            <w:gridSpan w:val="6"/>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029" w:type="dxa"/>
            <w:gridSpan w:val="7"/>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第2.1类易燃气体</w:t>
            </w:r>
          </w:p>
        </w:tc>
        <w:tc>
          <w:tcPr>
            <w:tcW w:w="1690" w:type="dxa"/>
            <w:gridSpan w:val="8"/>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865" w:type="dxa"/>
            <w:gridSpan w:val="8"/>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甲、甲</w:t>
            </w:r>
            <w:r>
              <w:rPr>
                <w:rFonts w:asciiTheme="minorEastAsia" w:hAnsiTheme="minorEastAsia" w:eastAsiaTheme="minorEastAsia"/>
                <w:snapToGrid w:val="0"/>
                <w:kern w:val="0"/>
                <w:sz w:val="21"/>
                <w:szCs w:val="21"/>
                <w:vertAlign w:val="subscript"/>
              </w:rPr>
              <w:t>A</w:t>
            </w:r>
            <w:r>
              <w:rPr>
                <w:rFonts w:asciiTheme="minorEastAsia" w:hAnsiTheme="minorEastAsia" w:eastAsiaTheme="minorEastAsia"/>
                <w:snapToGrid w:val="0"/>
                <w:kern w:val="0"/>
                <w:sz w:val="21"/>
                <w:szCs w:val="21"/>
              </w:rPr>
              <w:t>（液化）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79" w:type="dxa"/>
            <w:gridSpan w:val="8"/>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695"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599" w:type="dxa"/>
            <w:gridSpan w:val="7"/>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647" w:type="dxa"/>
            <w:gridSpan w:val="7"/>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309" w:type="dxa"/>
            <w:gridSpan w:val="2"/>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6"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524"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21011</w:t>
            </w:r>
          </w:p>
        </w:tc>
        <w:tc>
          <w:tcPr>
            <w:tcW w:w="1013"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519" w:type="dxa"/>
            <w:gridSpan w:val="8"/>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1978</w:t>
            </w:r>
          </w:p>
        </w:tc>
        <w:tc>
          <w:tcPr>
            <w:tcW w:w="1012" w:type="dxa"/>
            <w:gridSpan w:val="4"/>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685" w:type="dxa"/>
            <w:gridSpan w:val="3"/>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74-98-6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6" w:type="dxa"/>
            <w:gridSpan w:val="5"/>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537" w:type="dxa"/>
            <w:gridSpan w:val="9"/>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w:t>
            </w:r>
          </w:p>
        </w:tc>
        <w:tc>
          <w:tcPr>
            <w:tcW w:w="1519" w:type="dxa"/>
            <w:gridSpan w:val="8"/>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697" w:type="dxa"/>
            <w:gridSpan w:val="7"/>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与空气混合能形成爆炸性混合物，遇明火、高热能引起燃烧爆炸。其蒸气比空气重，能在较低处扩散到相当远的地方，遇明火会引着回燃。若遇高热，容器内压增大，有开裂和爆炸的危险。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切断气源。若不能立即切断气源，则不允许熄灭正在燃烧的气体，喷水冷却容器，可能的话将容器从火场移至空旷处。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急性中毒主要表现为对中枢神经系统的麻醉作用，出现乏力、恶心、头痛、头晕，容易激动。重者发生呕吐、气急、痉挛，甚至昏迷。对眼、鼻、喉有刺激性。口服后，口唇、咽喉有烧灼感，后出现口干、呕吐、昏迷、酸中毒和酮症。慢性影响：长期高浓度接触该品出现眩晕、烧灼感、咽炎、支气管炎、乏力、易激动等。皮肤长期反复接触可致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疏散泄漏污染区人员至安全区，禁止无关人员进入污染区，切断火源。应急处理人员戴自给式呼吸器，穿一般消防防护服。在确保安全情况下堵漏。喷水雾可减少蒸发。用活性炭或其它惰性材料吸收，然后收集运至废物处理场所。也可以用大量水冲洗，经稀释的洗液放入废水系统。如大量泄漏，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4" w:hRule="atLeast"/>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全面通风。操作人员必须经过专门培训，严格遵守操作规程。远离火种、热源，工作场所严禁吸烟。使用防爆型的通风系统和设备。防止气体泄漏到工作场所的空气中。避免与氧化剂、酸类接触。在传送过程中，钢瓶和容器必须接地和跨接，防止产生静电。搬运时轻装轻卸，防止钢瓶和附件破损。配备相应品种和数量的消防器材及泄漏应急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 w:hRule="atLeast"/>
          <w:tblHeader/>
          <w:jc w:val="center"/>
        </w:trPr>
        <w:tc>
          <w:tcPr>
            <w:tcW w:w="776" w:type="dxa"/>
            <w:vAlign w:val="center"/>
          </w:tcPr>
          <w:p>
            <w:pPr>
              <w:autoSpaceDE w:val="0"/>
              <w:autoSpaceDN w:val="0"/>
              <w:adjustRightInd w:val="0"/>
              <w:snapToGrid w:val="0"/>
              <w:spacing w:before="0" w:beforeLines="0" w:line="30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7753" w:type="dxa"/>
            <w:gridSpan w:val="28"/>
            <w:vAlign w:val="center"/>
          </w:tcPr>
          <w:p>
            <w:pPr>
              <w:autoSpaceDE w:val="0"/>
              <w:autoSpaceDN w:val="0"/>
              <w:adjustRightInd w:val="0"/>
              <w:snapToGrid w:val="0"/>
              <w:spacing w:before="0" w:beforeLines="0" w:line="30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库房内。远离火种、热源。库房内温度不宜超过30度。应与氧化剂、卤素分开存放，切忌混储。采用防爆型照明、通风设施。禁止使用易产生火花的机械设备和工具。储区应备用泄漏应急处理设备。</w:t>
            </w:r>
          </w:p>
        </w:tc>
      </w:tr>
    </w:tbl>
    <w:p>
      <w:pPr>
        <w:pStyle w:val="29"/>
        <w:spacing w:before="156"/>
        <w:ind w:left="480" w:firstLine="480"/>
      </w:pPr>
    </w:p>
    <w:p>
      <w:pPr>
        <w:spacing w:before="0" w:beforeLines="0" w:line="280" w:lineRule="exact"/>
        <w:ind w:firstLine="0" w:firstLineChars="0"/>
        <w:rPr>
          <w:rFonts w:cs="宋体" w:asciiTheme="minorEastAsia" w:hAnsiTheme="minorEastAsia" w:eastAsiaTheme="minorEastAsia"/>
          <w:sz w:val="21"/>
          <w:szCs w:val="21"/>
        </w:rPr>
      </w:pPr>
      <w:r>
        <w:rPr>
          <w:rFonts w:hint="eastAsia" w:ascii="宋体" w:hAnsi="宋体" w:cs="宋体"/>
        </w:rPr>
        <w:t xml:space="preserve">          </w:t>
      </w:r>
      <w:r>
        <w:rPr>
          <w:rFonts w:hint="eastAsia" w:cs="宋体" w:asciiTheme="minorEastAsia" w:hAnsiTheme="minorEastAsia" w:eastAsiaTheme="minorEastAsia"/>
          <w:sz w:val="21"/>
          <w:szCs w:val="21"/>
        </w:rPr>
        <w:t xml:space="preserve">                        乙苯理化性质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881"/>
        <w:gridCol w:w="1179"/>
        <w:gridCol w:w="1204"/>
        <w:gridCol w:w="909"/>
        <w:gridCol w:w="217"/>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理</w:t>
            </w:r>
          </w:p>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化</w:t>
            </w:r>
          </w:p>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质</w:t>
            </w:r>
          </w:p>
        </w:tc>
        <w:tc>
          <w:tcPr>
            <w:tcW w:w="1881" w:type="dxa"/>
            <w:vAlign w:val="center"/>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外观与性状</w:t>
            </w:r>
          </w:p>
        </w:tc>
        <w:tc>
          <w:tcPr>
            <w:tcW w:w="6114" w:type="dxa"/>
            <w:gridSpan w:val="5"/>
            <w:vAlign w:val="center"/>
          </w:tcPr>
          <w:p>
            <w:pPr>
              <w:spacing w:before="0" w:beforeLines="0" w:line="28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napToGrid w:val="0"/>
                <w:kern w:val="0"/>
                <w:sz w:val="21"/>
                <w:szCs w:val="21"/>
              </w:rPr>
              <w:t>无色透明液体，有类似苯的芳香气味。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成分</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cs="宋体" w:asciiTheme="minorEastAsia" w:hAnsiTheme="minorEastAsia" w:eastAsiaTheme="minorEastAsia"/>
                <w:snapToGrid w:val="0"/>
                <w:spacing w:val="10"/>
                <w:w w:val="95"/>
                <w:kern w:val="28"/>
                <w:sz w:val="21"/>
                <w:szCs w:val="21"/>
              </w:rPr>
              <w:t>乙苯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燃烧热（KJ/mol）</w:t>
            </w:r>
          </w:p>
        </w:tc>
        <w:tc>
          <w:tcPr>
            <w:tcW w:w="1179" w:type="dxa"/>
            <w:vMerge w:val="restart"/>
            <w:vAlign w:val="center"/>
          </w:tcPr>
          <w:p>
            <w:pPr>
              <w:spacing w:before="0" w:beforeLines="0" w:line="280" w:lineRule="exact"/>
              <w:ind w:firstLine="0" w:firstLineChars="0"/>
              <w:rPr>
                <w:rFonts w:asciiTheme="minorEastAsia" w:hAnsiTheme="minorEastAsia" w:eastAsiaTheme="minorEastAsia"/>
                <w:sz w:val="21"/>
                <w:szCs w:val="21"/>
              </w:rPr>
            </w:pP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相对密度（水=1）</w:t>
            </w:r>
          </w:p>
        </w:tc>
        <w:tc>
          <w:tcPr>
            <w:tcW w:w="2605" w:type="dxa"/>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79"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相对密度（空气=1）</w:t>
            </w:r>
          </w:p>
        </w:tc>
        <w:tc>
          <w:tcPr>
            <w:tcW w:w="2605" w:type="dxa"/>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z w:val="21"/>
                <w:szCs w:val="21"/>
              </w:rPr>
            </w:pPr>
            <w:r>
              <w:rPr>
                <w:rFonts w:hint="eastAsia" w:asciiTheme="minorEastAsia" w:hAnsiTheme="minorEastAsia" w:eastAsiaTheme="minorEastAsia"/>
                <w:snapToGrid w:val="0"/>
                <w:kern w:val="0"/>
                <w:sz w:val="21"/>
                <w:szCs w:val="21"/>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 w:hRule="atLeast"/>
          <w:jc w:val="center"/>
        </w:trPr>
        <w:tc>
          <w:tcPr>
            <w:tcW w:w="534"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炸</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险</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燃烧性</w:t>
            </w:r>
          </w:p>
        </w:tc>
        <w:tc>
          <w:tcPr>
            <w:tcW w:w="1179"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易燃</w:t>
            </w: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火灾危险类别</w:t>
            </w:r>
          </w:p>
        </w:tc>
        <w:tc>
          <w:tcPr>
            <w:tcW w:w="2605"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甲</w:t>
            </w:r>
            <w:r>
              <w:rPr>
                <w:rFonts w:asciiTheme="minorEastAsia" w:hAnsiTheme="minorEastAsia" w:eastAsiaTheme="minorEastAsia"/>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闪点(</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1179"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15</w:t>
            </w: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爆炸极限%</w:t>
            </w:r>
          </w:p>
        </w:tc>
        <w:tc>
          <w:tcPr>
            <w:tcW w:w="2605"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1.</w:t>
            </w:r>
            <w:r>
              <w:rPr>
                <w:rFonts w:hint="eastAsia" w:asciiTheme="minorEastAsia" w:hAnsiTheme="minorEastAsia" w:eastAsiaTheme="minorEastAsia"/>
                <w:snapToGrid w:val="0"/>
                <w:kern w:val="0"/>
                <w:sz w:val="21"/>
                <w:szCs w:val="21"/>
              </w:rPr>
              <w:t>0</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引燃温度(</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1179" w:type="dxa"/>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z w:val="21"/>
                <w:szCs w:val="21"/>
              </w:rPr>
            </w:pPr>
            <w:r>
              <w:rPr>
                <w:rFonts w:hint="eastAsia" w:asciiTheme="minorEastAsia" w:hAnsiTheme="minorEastAsia" w:eastAsiaTheme="minorEastAsia"/>
                <w:snapToGrid w:val="0"/>
                <w:kern w:val="0"/>
                <w:sz w:val="21"/>
                <w:szCs w:val="21"/>
              </w:rPr>
              <w:t>432</w:t>
            </w: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爆炸危险组别</w:t>
            </w:r>
          </w:p>
        </w:tc>
        <w:tc>
          <w:tcPr>
            <w:tcW w:w="2605"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ⅡA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稳定性</w:t>
            </w:r>
          </w:p>
        </w:tc>
        <w:tc>
          <w:tcPr>
            <w:tcW w:w="1179"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稳定</w:t>
            </w:r>
          </w:p>
        </w:tc>
        <w:tc>
          <w:tcPr>
            <w:tcW w:w="2330"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燃烧分解产物</w:t>
            </w:r>
          </w:p>
        </w:tc>
        <w:tc>
          <w:tcPr>
            <w:tcW w:w="2605"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23"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危险特性</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易燃，其蒸汽与空气可形成爆炸性混合物，遇明火、高热能引起燃烧爆炸。与氧化剂能发生剧烈反应。流速过快，容易产生和积聚静电。其蒸汽比空气重，能在较低处扩散到相当远的地方，遇火源会着火回燃。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危险性类别</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第3.2类中闪点易燃液体</w:t>
            </w:r>
            <w:r>
              <w:rPr>
                <w:rFonts w:hint="eastAsia"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6"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灭火方法</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喷水冷却容器，可能的话将容器从火场移至空旷处。处在火场中的容器若已变色或从安全泄压装置中产生声音，必须马上撤离。用水灭火无效。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7" w:hRule="atLeast"/>
          <w:jc w:val="center"/>
        </w:trPr>
        <w:tc>
          <w:tcPr>
            <w:tcW w:w="53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储存要求</w:t>
            </w:r>
          </w:p>
        </w:tc>
        <w:tc>
          <w:tcPr>
            <w:tcW w:w="7995"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储存要求：</w:t>
            </w:r>
            <w:r>
              <w:rPr>
                <w:rFonts w:asciiTheme="minorEastAsia" w:hAnsiTheme="minorEastAsia" w:eastAsiaTheme="minorEastAsia"/>
                <w:sz w:val="21"/>
                <w:szCs w:val="21"/>
              </w:rPr>
              <w:t>储存于阴凉、通风库房内。远离火种、热源 。库温宜不超过300C。保持容器密封。应与氧化剂分开存放，切忌混储。 采用防爆型的照明、通风设施。禁止使用易产生火花的机械设备和工具。储区应备有泄漏应急处理设备和合适的收容材料。</w:t>
            </w:r>
          </w:p>
          <w:p>
            <w:pPr>
              <w:pStyle w:val="32"/>
              <w:spacing w:before="0" w:beforeLines="0" w:line="280" w:lineRule="exact"/>
              <w:ind w:firstLine="0" w:firstLineChars="0"/>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4" w:hRule="atLeast"/>
          <w:jc w:val="center"/>
        </w:trPr>
        <w:tc>
          <w:tcPr>
            <w:tcW w:w="53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泄漏处理</w:t>
            </w:r>
          </w:p>
        </w:tc>
        <w:tc>
          <w:tcPr>
            <w:tcW w:w="7995" w:type="dxa"/>
            <w:gridSpan w:val="6"/>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疏散泄漏污染区人员至安全区，禁止无关人员进入污染区，切断火源。应急处理人员戴自给式呼吸器，穿一般消防防护服。在确保安全情况下堵漏。喷水雾可减少蒸发。用活性炭或其它惰性材料吸收，然后收集运至废物处理场所。也可以用大量水冲洗，经稀释的洗液放入废水系统。如大量泄漏，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毒</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及</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康</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害</w:t>
            </w: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接触限值(mg/m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MAC：</w:t>
            </w:r>
            <w:r>
              <w:rPr>
                <w:rFonts w:hint="eastAsia" w:asciiTheme="minorEastAsia" w:hAnsiTheme="minorEastAsia" w:eastAsiaTheme="minorEastAsia"/>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侵入途径</w:t>
            </w:r>
          </w:p>
        </w:tc>
        <w:tc>
          <w:tcPr>
            <w:tcW w:w="2383"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吸入</w:t>
            </w:r>
          </w:p>
        </w:tc>
        <w:tc>
          <w:tcPr>
            <w:tcW w:w="909"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危害</w:t>
            </w:r>
          </w:p>
        </w:tc>
        <w:tc>
          <w:tcPr>
            <w:tcW w:w="28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kern w:val="0"/>
                <w:sz w:val="21"/>
                <w:szCs w:val="21"/>
              </w:rPr>
              <w:t>高度危害（</w:t>
            </w:r>
            <w:r>
              <w:rPr>
                <w:rFonts w:hint="eastAsia" w:cs="宋体" w:asciiTheme="minorEastAsia" w:hAnsiTheme="minorEastAsia" w:eastAsiaTheme="minorEastAsia"/>
                <w:kern w:val="0"/>
                <w:sz w:val="21"/>
                <w:szCs w:val="21"/>
              </w:rPr>
              <w:t>Ⅱ</w:t>
            </w:r>
            <w:r>
              <w:rPr>
                <w:rFonts w:asciiTheme="minorEastAsia" w:hAnsiTheme="minorEastAsia" w:eastAsiaTheme="minorEastAsia"/>
                <w:kern w:val="0"/>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2"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健康危害</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对皮肤、粘膜有刺激性，</w:t>
            </w:r>
            <w:r>
              <w:rPr>
                <w:rFonts w:hint="eastAsia" w:asciiTheme="minorEastAsia" w:hAnsiTheme="minorEastAsia" w:eastAsiaTheme="minorEastAsia"/>
                <w:snapToGrid w:val="0"/>
                <w:kern w:val="0"/>
                <w:sz w:val="21"/>
                <w:szCs w:val="21"/>
              </w:rPr>
              <w:t>高浓度有</w:t>
            </w:r>
            <w:r>
              <w:rPr>
                <w:rFonts w:asciiTheme="minorEastAsia" w:hAnsiTheme="minorEastAsia" w:eastAsiaTheme="minorEastAsia"/>
                <w:snapToGrid w:val="0"/>
                <w:kern w:val="0"/>
                <w:sz w:val="21"/>
                <w:szCs w:val="21"/>
              </w:rPr>
              <w:t>麻醉作用。急性中毒：</w:t>
            </w:r>
            <w:r>
              <w:rPr>
                <w:rFonts w:hint="eastAsia" w:asciiTheme="minorEastAsia" w:hAnsiTheme="minorEastAsia" w:eastAsiaTheme="minorEastAsia"/>
                <w:snapToGrid w:val="0"/>
                <w:kern w:val="0"/>
                <w:sz w:val="21"/>
                <w:szCs w:val="21"/>
              </w:rPr>
              <w:t>轻度中度有</w:t>
            </w:r>
            <w:r>
              <w:rPr>
                <w:rFonts w:asciiTheme="minorEastAsia" w:hAnsiTheme="minorEastAsia" w:eastAsiaTheme="minorEastAsia"/>
                <w:snapToGrid w:val="0"/>
                <w:kern w:val="0"/>
                <w:sz w:val="21"/>
                <w:szCs w:val="21"/>
              </w:rPr>
              <w:t>头晕、头痛、恶心、呕吐、步态蹒跚</w:t>
            </w:r>
            <w:r>
              <w:rPr>
                <w:rFonts w:hint="eastAsia" w:asciiTheme="minorEastAsia" w:hAnsiTheme="minorEastAsia" w:eastAsiaTheme="minorEastAsia"/>
                <w:snapToGrid w:val="0"/>
                <w:kern w:val="0"/>
                <w:sz w:val="21"/>
                <w:szCs w:val="21"/>
              </w:rPr>
              <w:t>，轻度</w:t>
            </w:r>
            <w:r>
              <w:rPr>
                <w:rFonts w:asciiTheme="minorEastAsia" w:hAnsiTheme="minorEastAsia" w:eastAsiaTheme="minorEastAsia"/>
                <w:snapToGrid w:val="0"/>
                <w:kern w:val="0"/>
                <w:sz w:val="21"/>
                <w:szCs w:val="21"/>
              </w:rPr>
              <w:t>意识</w:t>
            </w:r>
            <w:r>
              <w:rPr>
                <w:rFonts w:hint="eastAsia" w:asciiTheme="minorEastAsia" w:hAnsiTheme="minorEastAsia" w:eastAsiaTheme="minorEastAsia"/>
                <w:snapToGrid w:val="0"/>
                <w:kern w:val="0"/>
                <w:sz w:val="21"/>
                <w:szCs w:val="21"/>
              </w:rPr>
              <w:t>障碍及眼和上呼吸道刺激症。</w:t>
            </w:r>
            <w:r>
              <w:rPr>
                <w:rFonts w:asciiTheme="minorEastAsia" w:hAnsiTheme="minorEastAsia" w:eastAsiaTheme="minorEastAsia"/>
                <w:snapToGrid w:val="0"/>
                <w:kern w:val="0"/>
                <w:sz w:val="21"/>
                <w:szCs w:val="21"/>
              </w:rPr>
              <w:t>重症者</w:t>
            </w:r>
            <w:r>
              <w:rPr>
                <w:rFonts w:hint="eastAsia" w:asciiTheme="minorEastAsia" w:hAnsiTheme="minorEastAsia" w:eastAsiaTheme="minorEastAsia"/>
                <w:snapToGrid w:val="0"/>
                <w:kern w:val="0"/>
                <w:sz w:val="21"/>
                <w:szCs w:val="21"/>
              </w:rPr>
              <w:t>发生</w:t>
            </w:r>
            <w:r>
              <w:rPr>
                <w:rFonts w:asciiTheme="minorEastAsia" w:hAnsiTheme="minorEastAsia" w:eastAsiaTheme="minorEastAsia"/>
                <w:snapToGrid w:val="0"/>
                <w:kern w:val="0"/>
                <w:sz w:val="21"/>
                <w:szCs w:val="21"/>
              </w:rPr>
              <w:t>昏迷</w:t>
            </w:r>
            <w:r>
              <w:rPr>
                <w:rFonts w:hint="eastAsia" w:asciiTheme="minorEastAsia" w:hAnsiTheme="minorEastAsia" w:eastAsiaTheme="minorEastAsia"/>
                <w:snapToGrid w:val="0"/>
                <w:kern w:val="0"/>
                <w:sz w:val="21"/>
                <w:szCs w:val="21"/>
              </w:rPr>
              <w:t>、抽搐、血压下降及呼吸循环衰竭。可有肝损害。直接吸入本品液体可致化学性肺炎和肺水肿，慢性影响，眼及上呼吸道刺激症状、。批复出现粘膜、皲裂、脱皮</w:t>
            </w: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7" w:hRule="atLeast"/>
          <w:jc w:val="center"/>
        </w:trPr>
        <w:tc>
          <w:tcPr>
            <w:tcW w:w="53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881"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防护措施</w:t>
            </w:r>
          </w:p>
        </w:tc>
        <w:tc>
          <w:tcPr>
            <w:tcW w:w="6114"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napToGrid w:val="0"/>
                <w:kern w:val="0"/>
                <w:sz w:val="21"/>
                <w:szCs w:val="21"/>
              </w:rPr>
              <w:t>密闭操作，加强通风。操作人员必须经过专门培训，严格遵守操作规程。建议操作人员佩戴自吸过滤式放毒面具，戴化学安全防护眼镜，穿防毒物渗透工作服，戴橡胶耐油手套。远离火种、热源，工作场所严禁吸烟。使用防爆型的通风系统和设备。防止蒸汽泄漏到工作场所空气中。避免与氧化剂接触 。灌装时应控制流速，且有接地装置，防止静电积聚。搬运时要轻装轻卸，防止包装及容器损坏。配备相应品种和数量的消防器材及泄漏应急处理设备。倒空的容器中可能残留有害物。</w:t>
            </w:r>
            <w:r>
              <w:rPr>
                <w:rFonts w:asciiTheme="minorEastAsia" w:hAnsiTheme="minorEastAsia" w:eastAsiaTheme="minorEastAsia"/>
                <w:sz w:val="21"/>
                <w:szCs w:val="21"/>
              </w:rPr>
              <w:t xml:space="preserve"> </w:t>
            </w:r>
          </w:p>
        </w:tc>
      </w:tr>
    </w:tbl>
    <w:p>
      <w:pPr>
        <w:pStyle w:val="32"/>
        <w:spacing w:before="0" w:beforeLines="0" w:line="280" w:lineRule="exact"/>
        <w:ind w:firstLine="0" w:firstLineChars="0"/>
        <w:rPr>
          <w:rFonts w:ascii="宋体" w:hAnsi="宋体"/>
          <w:sz w:val="21"/>
          <w:szCs w:val="21"/>
        </w:rPr>
      </w:pPr>
      <w:r>
        <w:rPr>
          <w:rFonts w:hint="eastAsia"/>
          <w:sz w:val="24"/>
          <w:szCs w:val="24"/>
        </w:rPr>
        <w:t xml:space="preserve">            </w:t>
      </w:r>
      <w:r>
        <w:rPr>
          <w:rFonts w:hint="eastAsia" w:ascii="宋体" w:hAnsi="宋体"/>
          <w:sz w:val="21"/>
          <w:szCs w:val="21"/>
        </w:rPr>
        <w:t xml:space="preserve">        </w:t>
      </w:r>
      <w:r>
        <w:rPr>
          <w:rFonts w:ascii="宋体" w:hAnsi="宋体"/>
          <w:sz w:val="21"/>
          <w:szCs w:val="21"/>
        </w:rPr>
        <w:t xml:space="preserve"> </w:t>
      </w:r>
      <w:r>
        <w:rPr>
          <w:rFonts w:hint="eastAsia" w:ascii="宋体" w:hAnsi="宋体"/>
          <w:sz w:val="21"/>
          <w:szCs w:val="21"/>
        </w:rPr>
        <w:t xml:space="preserve">         硫化氢理化性质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410"/>
        <w:gridCol w:w="552"/>
        <w:gridCol w:w="110"/>
        <w:gridCol w:w="315"/>
        <w:gridCol w:w="16"/>
        <w:gridCol w:w="168"/>
        <w:gridCol w:w="825"/>
        <w:gridCol w:w="169"/>
        <w:gridCol w:w="107"/>
        <w:gridCol w:w="222"/>
        <w:gridCol w:w="275"/>
        <w:gridCol w:w="55"/>
        <w:gridCol w:w="215"/>
        <w:gridCol w:w="113"/>
        <w:gridCol w:w="11"/>
        <w:gridCol w:w="323"/>
        <w:gridCol w:w="167"/>
        <w:gridCol w:w="27"/>
        <w:gridCol w:w="141"/>
        <w:gridCol w:w="494"/>
        <w:gridCol w:w="58"/>
        <w:gridCol w:w="114"/>
        <w:gridCol w:w="174"/>
        <w:gridCol w:w="153"/>
        <w:gridCol w:w="166"/>
        <w:gridCol w:w="499"/>
        <w:gridCol w:w="173"/>
        <w:gridCol w:w="359"/>
        <w:gridCol w:w="460"/>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2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中文名称</w:t>
            </w:r>
          </w:p>
        </w:tc>
        <w:tc>
          <w:tcPr>
            <w:tcW w:w="2590" w:type="dxa"/>
            <w:gridSpan w:val="12"/>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硫化氢</w:t>
            </w:r>
          </w:p>
        </w:tc>
        <w:tc>
          <w:tcPr>
            <w:tcW w:w="1163"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英文名称</w:t>
            </w:r>
          </w:p>
        </w:tc>
        <w:tc>
          <w:tcPr>
            <w:tcW w:w="3150" w:type="dxa"/>
            <w:gridSpan w:val="10"/>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Hydrogen sulfied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2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外观与气味</w:t>
            </w:r>
          </w:p>
        </w:tc>
        <w:tc>
          <w:tcPr>
            <w:tcW w:w="6903" w:type="dxa"/>
            <w:gridSpan w:val="28"/>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无色、有恶臭的气体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75"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熔点（℃）</w:t>
            </w:r>
          </w:p>
        </w:tc>
        <w:tc>
          <w:tcPr>
            <w:tcW w:w="97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-85.5</w:t>
            </w:r>
          </w:p>
        </w:tc>
        <w:tc>
          <w:tcPr>
            <w:tcW w:w="100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沸点（℃）</w:t>
            </w:r>
          </w:p>
        </w:tc>
        <w:tc>
          <w:tcPr>
            <w:tcW w:w="82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-60.4</w:t>
            </w:r>
          </w:p>
        </w:tc>
        <w:tc>
          <w:tcPr>
            <w:tcW w:w="997"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闪点（℃）</w:t>
            </w:r>
          </w:p>
        </w:tc>
        <w:tc>
          <w:tcPr>
            <w:tcW w:w="115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＜-50</w:t>
            </w:r>
          </w:p>
        </w:tc>
        <w:tc>
          <w:tcPr>
            <w:tcW w:w="149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引燃温度（℃）</w:t>
            </w:r>
          </w:p>
        </w:tc>
        <w:tc>
          <w:tcPr>
            <w:tcW w:w="994"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075"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相对密度</w:t>
            </w:r>
          </w:p>
        </w:tc>
        <w:tc>
          <w:tcPr>
            <w:tcW w:w="993" w:type="dxa"/>
            <w:gridSpan w:val="4"/>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水＝1</w:t>
            </w:r>
          </w:p>
        </w:tc>
        <w:tc>
          <w:tcPr>
            <w:tcW w:w="1491" w:type="dxa"/>
            <w:gridSpan w:val="5"/>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159"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毒性</w:t>
            </w:r>
          </w:p>
        </w:tc>
        <w:tc>
          <w:tcPr>
            <w:tcW w:w="1161" w:type="dxa"/>
            <w:gridSpan w:val="7"/>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2651" w:type="dxa"/>
            <w:gridSpan w:val="6"/>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075"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993" w:type="dxa"/>
            <w:gridSpan w:val="4"/>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空气＝1</w:t>
            </w:r>
          </w:p>
        </w:tc>
        <w:tc>
          <w:tcPr>
            <w:tcW w:w="1491" w:type="dxa"/>
            <w:gridSpan w:val="5"/>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1.19</w:t>
            </w:r>
          </w:p>
        </w:tc>
        <w:tc>
          <w:tcPr>
            <w:tcW w:w="1159" w:type="dxa"/>
            <w:gridSpan w:val="7"/>
            <w:vMerge w:val="continue"/>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161" w:type="dxa"/>
            <w:gridSpan w:val="7"/>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危害程度</w:t>
            </w:r>
          </w:p>
        </w:tc>
        <w:tc>
          <w:tcPr>
            <w:tcW w:w="2651" w:type="dxa"/>
            <w:gridSpan w:val="6"/>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高度危害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5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爆炸极限（V%）</w:t>
            </w:r>
          </w:p>
        </w:tc>
        <w:tc>
          <w:tcPr>
            <w:tcW w:w="150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4.0～46.0</w:t>
            </w:r>
          </w:p>
        </w:tc>
        <w:tc>
          <w:tcPr>
            <w:tcW w:w="1186"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灭火剂</w:t>
            </w:r>
          </w:p>
        </w:tc>
        <w:tc>
          <w:tcPr>
            <w:tcW w:w="3785"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雾状水、抗溶性泡沫、干粉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337"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工作场所空气中容许浓度（mg/m</w:t>
            </w:r>
            <w:r>
              <w:rPr>
                <w:rFonts w:ascii="宋体" w:hAnsi="宋体"/>
                <w:snapToGrid w:val="0"/>
                <w:kern w:val="0"/>
                <w:sz w:val="21"/>
                <w:szCs w:val="21"/>
                <w:vertAlign w:val="superscript"/>
              </w:rPr>
              <w:t>3</w:t>
            </w:r>
            <w:r>
              <w:rPr>
                <w:rFonts w:ascii="宋体" w:hAnsi="宋体"/>
                <w:snapToGrid w:val="0"/>
                <w:kern w:val="0"/>
                <w:sz w:val="21"/>
                <w:szCs w:val="21"/>
              </w:rPr>
              <w:t>）</w:t>
            </w:r>
          </w:p>
        </w:tc>
        <w:tc>
          <w:tcPr>
            <w:tcW w:w="76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MAC</w:t>
            </w:r>
          </w:p>
        </w:tc>
        <w:tc>
          <w:tcPr>
            <w:tcW w:w="44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10</w:t>
            </w:r>
          </w:p>
        </w:tc>
        <w:tc>
          <w:tcPr>
            <w:tcW w:w="100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PC-TWA</w:t>
            </w:r>
          </w:p>
        </w:tc>
        <w:tc>
          <w:tcPr>
            <w:tcW w:w="99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99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PC-STEL</w:t>
            </w:r>
          </w:p>
        </w:tc>
        <w:tc>
          <w:tcPr>
            <w:tcW w:w="994"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5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毒物侵入途径</w:t>
            </w:r>
          </w:p>
        </w:tc>
        <w:tc>
          <w:tcPr>
            <w:tcW w:w="6478" w:type="dxa"/>
            <w:gridSpan w:val="2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5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物质危险性类别</w:t>
            </w:r>
          </w:p>
        </w:tc>
        <w:tc>
          <w:tcPr>
            <w:tcW w:w="183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第2.1类易燃气体</w:t>
            </w:r>
          </w:p>
        </w:tc>
        <w:tc>
          <w:tcPr>
            <w:tcW w:w="166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火灾危险性分类</w:t>
            </w:r>
          </w:p>
        </w:tc>
        <w:tc>
          <w:tcPr>
            <w:tcW w:w="2978"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6"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爆炸物质级别及组别</w:t>
            </w:r>
          </w:p>
        </w:tc>
        <w:tc>
          <w:tcPr>
            <w:tcW w:w="159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1604"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ⅡB</w:t>
            </w:r>
          </w:p>
        </w:tc>
        <w:tc>
          <w:tcPr>
            <w:tcW w:w="163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组别</w:t>
            </w:r>
          </w:p>
        </w:tc>
        <w:tc>
          <w:tcPr>
            <w:tcW w:w="1454"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3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危险货物编号</w:t>
            </w:r>
          </w:p>
        </w:tc>
        <w:tc>
          <w:tcPr>
            <w:tcW w:w="149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21006</w:t>
            </w:r>
          </w:p>
        </w:tc>
        <w:tc>
          <w:tcPr>
            <w:tcW w:w="99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UN编号</w:t>
            </w:r>
          </w:p>
        </w:tc>
        <w:tc>
          <w:tcPr>
            <w:tcW w:w="1498"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1053</w:t>
            </w:r>
          </w:p>
        </w:tc>
        <w:tc>
          <w:tcPr>
            <w:tcW w:w="99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CAS No.</w:t>
            </w:r>
          </w:p>
        </w:tc>
        <w:tc>
          <w:tcPr>
            <w:tcW w:w="181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7783－06－4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3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包装类别</w:t>
            </w:r>
          </w:p>
        </w:tc>
        <w:tc>
          <w:tcPr>
            <w:tcW w:w="2491"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Ⅱ类</w:t>
            </w:r>
          </w:p>
        </w:tc>
        <w:tc>
          <w:tcPr>
            <w:tcW w:w="1498"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包装标志</w:t>
            </w:r>
          </w:p>
        </w:tc>
        <w:tc>
          <w:tcPr>
            <w:tcW w:w="2804"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危险特性</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易燃，与空气混合能形成爆炸性混合物。遇明火、高热有燃烧爆炸的危险。与浓硝酸、发烟硝酸或其它强氧化剂剧烈反应，发生爆炸。其蒸气比空气重，能在较低处扩散到相当远的地方，遇火源会着火回燃。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灭火方法</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消防人员必须穿全身防火防毒服，在上风向灭火。切断气源。若不能切断气源，则不允许熄灭泄漏处的火焰。喷水冷却容器，可能的话将容器从火场移至空旷处。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4"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健康危害</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本品是强烈的神经毒物，对粘膜有强烈的刺激作用。急性中毒：短期内吸入高浓度硫化氢后出现流泪、眼痛、眼内异物感、畏光、视物模糊、流涕、咽喉部有灼热感、咳嗽、胸闷、头痛、头晕、乏力、意识模糊等。部分患者可有心肌损害。重者可出现脑水肿、肺水肿。极高浓度时可在数秒中内突然昏迷，呼吸和心跳骤停，发生闪电型死亡。高浓度接触眼结膜发生水肿和角膜溃疡。长期低浓度接触，引起神经衰弱综合症和植物神经功能紊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8"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泄漏紧急处理</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迅速撤离污染区人员至上风处，并立即进行隔离，小隔离时隔离150米，大隔离时隔离300米，严格限制出入。切断火源。建议应急处理人员戴自给正压式呼吸器，穿防静电工作服。从上风处进入现场。尽可能切断泄漏源。合理通风，加速扩散。喷雾状水稀释和溶解。构筑围堤或挖坑收容大量废水。如有可能，将残余气或漏出气用排风机送至水洗塔或与塔相连的通风橱内。或使其通过三氯化铁水溶液，管路装止回装置以防止溶液吸回。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2"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操作处置注意事项</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严加密闭，提供充分的局部排风和全面通风。操作人员必须经过专门培训，严格遵守操作规程。建议操作人员佩戴过滤式防毒面具，戴化学品安全防护眼镜，穿防静电工作服，戴防化学品手套。远离火种、热源，工作场所严禁吸烟。使用防爆型通风系统和设备。防止气体泄漏到工作场所的空气中。避免与氧化剂、碱类接触。在传送过程中，钢瓶和容器必须接地和跨接，防止产生静电。搬运时轻装轻卸，防止钢瓶和附件破损。配备相应品种和数量的消防器材和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9" w:hRule="atLeast"/>
          <w:tblHeader/>
          <w:jc w:val="center"/>
        </w:trPr>
        <w:tc>
          <w:tcPr>
            <w:tcW w:w="665"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储存注意事项</w:t>
            </w:r>
          </w:p>
        </w:tc>
        <w:tc>
          <w:tcPr>
            <w:tcW w:w="7865"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存于阴凉、通风的库房内。远离火种、热源。库温不超过30℃。保持容器密封。应与氧化剂、碱类分开存放，切忌混储。采用防爆型的照明、通风设施。禁止使用易产生火花的机械设备和工具。储区应备有泄漏应急处理设备。</w:t>
            </w:r>
          </w:p>
        </w:tc>
      </w:tr>
    </w:tbl>
    <w:p>
      <w:pPr>
        <w:pStyle w:val="33"/>
        <w:wordWrap/>
        <w:spacing w:line="280" w:lineRule="exact"/>
        <w:ind w:left="0"/>
        <w:rPr>
          <w:rFonts w:ascii="宋体" w:hAnsi="宋体"/>
          <w:szCs w:val="21"/>
        </w:rPr>
      </w:pPr>
    </w:p>
    <w:p>
      <w:pPr>
        <w:spacing w:before="0" w:beforeLines="0" w:line="280" w:lineRule="exact"/>
        <w:ind w:firstLine="0" w:firstLineChars="0"/>
        <w:rPr>
          <w:rFonts w:ascii="宋体" w:hAnsi="宋体"/>
          <w:sz w:val="21"/>
          <w:szCs w:val="21"/>
        </w:rPr>
      </w:pPr>
    </w:p>
    <w:p>
      <w:pPr>
        <w:pStyle w:val="32"/>
        <w:spacing w:before="0" w:beforeLines="0" w:line="280" w:lineRule="exact"/>
        <w:ind w:firstLine="1680" w:firstLineChars="800"/>
        <w:rPr>
          <w:rFonts w:ascii="宋体" w:hAnsi="宋体"/>
          <w:sz w:val="21"/>
          <w:szCs w:val="21"/>
        </w:rPr>
      </w:pPr>
      <w:bookmarkStart w:id="187" w:name="_Toc504738822"/>
      <w:bookmarkStart w:id="188" w:name="_Toc507245789"/>
      <w:r>
        <w:rPr>
          <w:rFonts w:hint="eastAsia" w:ascii="宋体" w:hAnsi="宋体" w:cs="宋体"/>
          <w:sz w:val="21"/>
          <w:szCs w:val="21"/>
        </w:rPr>
        <w:t xml:space="preserve"> </w:t>
      </w:r>
      <w:bookmarkStart w:id="189" w:name="_Toc406417701"/>
      <w:r>
        <w:rPr>
          <w:rFonts w:hint="eastAsia" w:ascii="宋体" w:hAnsi="宋体" w:cs="宋体"/>
          <w:sz w:val="21"/>
          <w:szCs w:val="21"/>
        </w:rPr>
        <w:t xml:space="preserve"> </w:t>
      </w:r>
      <w:r>
        <w:rPr>
          <w:rFonts w:hint="eastAsia" w:ascii="宋体" w:hAnsi="宋体"/>
          <w:sz w:val="21"/>
          <w:szCs w:val="21"/>
        </w:rPr>
        <w:t xml:space="preserve">             </w:t>
      </w:r>
      <w:r>
        <w:rPr>
          <w:rFonts w:ascii="宋体" w:hAnsi="宋体"/>
          <w:sz w:val="21"/>
          <w:szCs w:val="21"/>
        </w:rPr>
        <w:t>液化石油气</w:t>
      </w:r>
      <w:bookmarkEnd w:id="187"/>
      <w:bookmarkEnd w:id="188"/>
      <w:bookmarkEnd w:id="189"/>
      <w:r>
        <w:rPr>
          <w:rFonts w:hint="eastAsia" w:ascii="宋体" w:hAnsi="宋体"/>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567"/>
        <w:gridCol w:w="266"/>
        <w:gridCol w:w="168"/>
        <w:gridCol w:w="169"/>
        <w:gridCol w:w="168"/>
        <w:gridCol w:w="171"/>
        <w:gridCol w:w="839"/>
        <w:gridCol w:w="175"/>
        <w:gridCol w:w="336"/>
        <w:gridCol w:w="164"/>
        <w:gridCol w:w="115"/>
        <w:gridCol w:w="53"/>
        <w:gridCol w:w="336"/>
        <w:gridCol w:w="7"/>
        <w:gridCol w:w="331"/>
        <w:gridCol w:w="246"/>
        <w:gridCol w:w="94"/>
        <w:gridCol w:w="504"/>
        <w:gridCol w:w="59"/>
        <w:gridCol w:w="113"/>
        <w:gridCol w:w="172"/>
        <w:gridCol w:w="166"/>
        <w:gridCol w:w="674"/>
        <w:gridCol w:w="172"/>
        <w:gridCol w:w="370"/>
        <w:gridCol w:w="304"/>
        <w:gridCol w:w="166"/>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中文名称</w:t>
            </w:r>
          </w:p>
        </w:tc>
        <w:tc>
          <w:tcPr>
            <w:tcW w:w="2960"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液化石油气；压凝汽油</w:t>
            </w:r>
          </w:p>
        </w:tc>
        <w:tc>
          <w:tcPr>
            <w:tcW w:w="118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英文名称</w:t>
            </w:r>
          </w:p>
        </w:tc>
        <w:tc>
          <w:tcPr>
            <w:tcW w:w="3044"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Liquefied petroleum ges；</w:t>
            </w:r>
          </w:p>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Compressed petroleum gas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外观与气味</w:t>
            </w:r>
          </w:p>
        </w:tc>
        <w:tc>
          <w:tcPr>
            <w:tcW w:w="7186" w:type="dxa"/>
            <w:gridSpan w:val="2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无色气体或黄棕色油状液体，有特殊臭味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熔点（℃）</w:t>
            </w:r>
          </w:p>
        </w:tc>
        <w:tc>
          <w:tcPr>
            <w:tcW w:w="60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17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沸点（℃）</w:t>
            </w:r>
          </w:p>
        </w:tc>
        <w:tc>
          <w:tcPr>
            <w:tcW w:w="84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14"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闪点（℃）</w:t>
            </w:r>
          </w:p>
        </w:tc>
        <w:tc>
          <w:tcPr>
            <w:tcW w:w="848"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-74</w:t>
            </w:r>
          </w:p>
        </w:tc>
        <w:tc>
          <w:tcPr>
            <w:tcW w:w="168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引燃温度（℃）</w:t>
            </w:r>
          </w:p>
        </w:tc>
        <w:tc>
          <w:tcPr>
            <w:tcW w:w="1014"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426~537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343"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相对密度</w:t>
            </w:r>
          </w:p>
        </w:tc>
        <w:tc>
          <w:tcPr>
            <w:tcW w:w="77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水＝1</w:t>
            </w:r>
          </w:p>
        </w:tc>
        <w:tc>
          <w:tcPr>
            <w:tcW w:w="152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0.58</w:t>
            </w:r>
          </w:p>
        </w:tc>
        <w:tc>
          <w:tcPr>
            <w:tcW w:w="1252"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毒性</w:t>
            </w:r>
          </w:p>
        </w:tc>
        <w:tc>
          <w:tcPr>
            <w:tcW w:w="110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253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343"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77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空气＝1</w:t>
            </w:r>
          </w:p>
        </w:tc>
        <w:tc>
          <w:tcPr>
            <w:tcW w:w="152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252" w:type="dxa"/>
            <w:gridSpan w:val="7"/>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10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危害程度</w:t>
            </w:r>
          </w:p>
        </w:tc>
        <w:tc>
          <w:tcPr>
            <w:tcW w:w="253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爆炸极限（V%）</w:t>
            </w:r>
          </w:p>
        </w:tc>
        <w:tc>
          <w:tcPr>
            <w:tcW w:w="2026"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5~33</w:t>
            </w:r>
          </w:p>
        </w:tc>
        <w:tc>
          <w:tcPr>
            <w:tcW w:w="1252"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灭火剂</w:t>
            </w:r>
          </w:p>
        </w:tc>
        <w:tc>
          <w:tcPr>
            <w:tcW w:w="3642"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雾状水、泡沫、二氧化碳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2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工作场所空气中容许浓度（mg/m</w:t>
            </w:r>
            <w:r>
              <w:rPr>
                <w:rFonts w:ascii="宋体" w:hAnsi="宋体"/>
                <w:snapToGrid w:val="0"/>
                <w:kern w:val="0"/>
                <w:sz w:val="21"/>
                <w:szCs w:val="21"/>
                <w:vertAlign w:val="superscript"/>
              </w:rPr>
              <w:t>3</w:t>
            </w:r>
            <w:r>
              <w:rPr>
                <w:rFonts w:ascii="宋体" w:hAnsi="宋体"/>
                <w:snapToGrid w:val="0"/>
                <w:kern w:val="0"/>
                <w:sz w:val="21"/>
                <w:szCs w:val="21"/>
              </w:rPr>
              <w:t>）</w:t>
            </w:r>
          </w:p>
        </w:tc>
        <w:tc>
          <w:tcPr>
            <w:tcW w:w="67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MAC</w:t>
            </w:r>
          </w:p>
        </w:tc>
        <w:tc>
          <w:tcPr>
            <w:tcW w:w="84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1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PC-TWA</w:t>
            </w:r>
          </w:p>
        </w:tc>
        <w:tc>
          <w:tcPr>
            <w:tcW w:w="101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1000</w:t>
            </w:r>
          </w:p>
        </w:tc>
        <w:tc>
          <w:tcPr>
            <w:tcW w:w="101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PC-STEL</w:t>
            </w:r>
          </w:p>
        </w:tc>
        <w:tc>
          <w:tcPr>
            <w:tcW w:w="848"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94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毒物侵入途径</w:t>
            </w:r>
          </w:p>
        </w:tc>
        <w:tc>
          <w:tcPr>
            <w:tcW w:w="6583" w:type="dxa"/>
            <w:gridSpan w:val="2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94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物质危险性类别</w:t>
            </w:r>
          </w:p>
        </w:tc>
        <w:tc>
          <w:tcPr>
            <w:tcW w:w="2021"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第2.1类易燃气体</w:t>
            </w:r>
          </w:p>
        </w:tc>
        <w:tc>
          <w:tcPr>
            <w:tcW w:w="169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火灾危险性分类</w:t>
            </w:r>
          </w:p>
        </w:tc>
        <w:tc>
          <w:tcPr>
            <w:tcW w:w="2872"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w:t>
            </w:r>
            <w:r>
              <w:rPr>
                <w:rFonts w:ascii="宋体" w:hAnsi="宋体"/>
                <w:snapToGrid w:val="0"/>
                <w:kern w:val="0"/>
                <w:sz w:val="21"/>
                <w:szCs w:val="21"/>
                <w:vertAlign w:val="sub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285"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爆炸物质级别及组别</w:t>
            </w:r>
          </w:p>
        </w:tc>
        <w:tc>
          <w:tcPr>
            <w:tcW w:w="162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163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ⅡA</w:t>
            </w:r>
          </w:p>
        </w:tc>
        <w:tc>
          <w:tcPr>
            <w:tcW w:w="166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组别</w:t>
            </w:r>
          </w:p>
        </w:tc>
        <w:tc>
          <w:tcPr>
            <w:tcW w:w="131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77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危险货物编号</w:t>
            </w:r>
          </w:p>
        </w:tc>
        <w:tc>
          <w:tcPr>
            <w:tcW w:w="152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21053</w:t>
            </w:r>
          </w:p>
        </w:tc>
        <w:tc>
          <w:tcPr>
            <w:tcW w:w="101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UN编号</w:t>
            </w:r>
          </w:p>
        </w:tc>
        <w:tc>
          <w:tcPr>
            <w:tcW w:w="151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1075</w:t>
            </w:r>
          </w:p>
        </w:tc>
        <w:tc>
          <w:tcPr>
            <w:tcW w:w="101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CAS No.</w:t>
            </w:r>
          </w:p>
        </w:tc>
        <w:tc>
          <w:tcPr>
            <w:tcW w:w="1688"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68476-85-7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77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包装类别</w:t>
            </w:r>
          </w:p>
        </w:tc>
        <w:tc>
          <w:tcPr>
            <w:tcW w:w="2533"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Ⅱ类</w:t>
            </w:r>
          </w:p>
        </w:tc>
        <w:tc>
          <w:tcPr>
            <w:tcW w:w="151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包装标志</w:t>
            </w:r>
          </w:p>
        </w:tc>
        <w:tc>
          <w:tcPr>
            <w:tcW w:w="2700"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危险特性</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与空气混合能形成爆炸性混合物，遇明火、高热极易燃烧爆炸。与氟、氯等发生剧烈的化学反应。其蒸气比空气重，能在较低处扩散到相当远的地方，遇明火会引着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灭火方法</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切断气源。若不能切断气源，则不允许熄灭泄漏处的火焰。喷水冷却容器，可能的话将容器从火场移至空旷处。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健康危害</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中毒症状有头晕、头痛、兴奋或嗜睡、恶心、呕吐、脉缓等症状，严重时有麻醉状态及意识丧失。长期接触低浓度者，可出现头痛、头晕、睡眠不佳、易疲劳、情绪不稳、植物神经功能障碍等。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泄漏紧急处理</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迅速撤离泄漏污染区人员至上风处，并进行隔离，严格限制出入。切断火源。建议应急处理人员戴自给正压式呼吸器，穿防静电工作服。不要直接接触泄漏物。尽可能切断泄漏源。用工业覆盖层或吸附/吸收剂盖住泄漏点附近的下水道等地方，防止气体进入。合理通风，加速扩散。喷雾状水稀释。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操作处置注意事项</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密闭操作，全面通风。密闭操作，提供良好的自然通风条件。操作人员必须经过专门培训，严格遵守操作规程。远建议操作人员佩戴过滤式防毒面具（半面罩），穿防静电工作服。远离火种、热源，工作场所严禁吸烟。使用防爆型的通风系统和设备。防止气体泄漏到工作场所空气中。避免与氧化剂、卤素接触。在传送过程中，钢瓶和容器必须接地和跨接，防止产生静电。搬运时轻装轻卸，防止钢瓶及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储存注意事项</w:t>
            </w:r>
          </w:p>
        </w:tc>
        <w:tc>
          <w:tcPr>
            <w:tcW w:w="7753" w:type="dxa"/>
            <w:gridSpan w:val="28"/>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储存于阴凉、通风的库房。远离火种、热源。库温不宜超过30℃。应与氧化剂等分开存放，切忌混储。采用防爆型照明、通风设施。禁止使用易产生火花的机械设备和工具。储区应备有泄漏应急处理设备。</w:t>
            </w:r>
          </w:p>
        </w:tc>
      </w:tr>
    </w:tbl>
    <w:p>
      <w:pPr>
        <w:pStyle w:val="33"/>
        <w:wordWrap/>
        <w:spacing w:line="280" w:lineRule="exact"/>
        <w:ind w:left="0"/>
        <w:rPr>
          <w:rFonts w:ascii="宋体" w:hAnsi="宋体"/>
          <w:szCs w:val="21"/>
        </w:rPr>
      </w:pPr>
    </w:p>
    <w:p>
      <w:pPr>
        <w:spacing w:before="0" w:beforeLines="0" w:line="280" w:lineRule="exact"/>
        <w:ind w:firstLine="3570" w:firstLineChars="1700"/>
        <w:rPr>
          <w:rFonts w:ascii="宋体" w:hAnsi="宋体"/>
          <w:sz w:val="21"/>
          <w:szCs w:val="21"/>
        </w:rPr>
      </w:pPr>
      <w:r>
        <w:rPr>
          <w:rFonts w:hint="eastAsia" w:ascii="宋体" w:hAnsi="宋体"/>
          <w:sz w:val="21"/>
          <w:szCs w:val="21"/>
        </w:rPr>
        <w:t xml:space="preserve">  氢理化性质 </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801"/>
        <w:gridCol w:w="80"/>
        <w:gridCol w:w="1179"/>
        <w:gridCol w:w="1204"/>
        <w:gridCol w:w="909"/>
        <w:gridCol w:w="217"/>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理</w:t>
            </w:r>
          </w:p>
          <w:p>
            <w:pPr>
              <w:spacing w:before="0" w:beforeLines="0" w:line="280" w:lineRule="exact"/>
              <w:ind w:firstLine="0" w:firstLineChars="0"/>
              <w:rPr>
                <w:rFonts w:ascii="宋体" w:hAnsi="宋体"/>
                <w:sz w:val="21"/>
                <w:szCs w:val="21"/>
              </w:rPr>
            </w:pPr>
            <w:r>
              <w:rPr>
                <w:rFonts w:ascii="宋体" w:hAnsi="宋体"/>
                <w:sz w:val="21"/>
                <w:szCs w:val="21"/>
              </w:rPr>
              <w:t>化</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质</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外观与性状</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成分</w:t>
            </w:r>
          </w:p>
        </w:tc>
        <w:tc>
          <w:tcPr>
            <w:tcW w:w="6114" w:type="dxa"/>
            <w:gridSpan w:val="5"/>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燃烧热（KJ/mol）</w:t>
            </w:r>
          </w:p>
        </w:tc>
        <w:tc>
          <w:tcPr>
            <w:tcW w:w="1179" w:type="dxa"/>
            <w:vMerge w:val="restart"/>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241</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相对密度（水=1）</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0.07</w:t>
            </w:r>
            <w:r>
              <w:rPr>
                <w:rFonts w:ascii="宋体" w:hAnsi="宋体"/>
                <w:sz w:val="21"/>
                <w:szCs w:val="21"/>
              </w:rPr>
              <w:t>（-</w:t>
            </w:r>
            <w:r>
              <w:rPr>
                <w:rFonts w:hint="eastAsia" w:ascii="宋体" w:hAnsi="宋体"/>
                <w:sz w:val="21"/>
                <w:szCs w:val="21"/>
              </w:rPr>
              <w:t>252℃</w:t>
            </w:r>
            <w:r>
              <w:rPr>
                <w:rFonts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continue"/>
            <w:vAlign w:val="center"/>
          </w:tcPr>
          <w:p>
            <w:pPr>
              <w:spacing w:before="0" w:beforeLines="0" w:line="280" w:lineRule="exact"/>
              <w:ind w:firstLine="0" w:firstLineChars="0"/>
              <w:rPr>
                <w:rFonts w:ascii="宋体" w:hAnsi="宋体"/>
                <w:sz w:val="21"/>
                <w:szCs w:val="21"/>
              </w:rPr>
            </w:pPr>
          </w:p>
        </w:tc>
        <w:tc>
          <w:tcPr>
            <w:tcW w:w="1179" w:type="dxa"/>
            <w:vMerge w:val="continue"/>
            <w:vAlign w:val="center"/>
          </w:tcPr>
          <w:p>
            <w:pPr>
              <w:spacing w:before="0" w:beforeLines="0" w:line="280" w:lineRule="exact"/>
              <w:ind w:firstLine="0" w:firstLineChars="0"/>
              <w:rPr>
                <w:rFonts w:ascii="宋体" w:hAnsi="宋体"/>
                <w:sz w:val="21"/>
                <w:szCs w:val="21"/>
              </w:rPr>
            </w:pP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相对密度（空气=1）</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0.</w:t>
            </w:r>
            <w:r>
              <w:rPr>
                <w:rFonts w:hint="eastAsia" w:ascii="宋体" w:hAnsi="宋体"/>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w:t>
            </w:r>
          </w:p>
          <w:p>
            <w:pPr>
              <w:spacing w:before="0" w:beforeLines="0" w:line="280" w:lineRule="exact"/>
              <w:ind w:firstLine="0" w:firstLineChars="0"/>
              <w:rPr>
                <w:rFonts w:ascii="宋体" w:hAnsi="宋体"/>
                <w:sz w:val="21"/>
                <w:szCs w:val="21"/>
              </w:rPr>
            </w:pPr>
            <w:r>
              <w:rPr>
                <w:rFonts w:ascii="宋体" w:hAnsi="宋体"/>
                <w:sz w:val="21"/>
                <w:szCs w:val="21"/>
              </w:rPr>
              <w:t>烧</w:t>
            </w:r>
          </w:p>
          <w:p>
            <w:pPr>
              <w:spacing w:before="0" w:beforeLines="0" w:line="280" w:lineRule="exact"/>
              <w:ind w:firstLine="0" w:firstLineChars="0"/>
              <w:rPr>
                <w:rFonts w:ascii="宋体" w:hAnsi="宋体"/>
                <w:sz w:val="21"/>
                <w:szCs w:val="21"/>
              </w:rPr>
            </w:pPr>
            <w:r>
              <w:rPr>
                <w:rFonts w:ascii="宋体" w:hAnsi="宋体"/>
                <w:sz w:val="21"/>
                <w:szCs w:val="21"/>
              </w:rPr>
              <w:t>爆</w:t>
            </w:r>
          </w:p>
          <w:p>
            <w:pPr>
              <w:spacing w:before="0" w:beforeLines="0" w:line="280" w:lineRule="exact"/>
              <w:ind w:firstLine="0" w:firstLineChars="0"/>
              <w:rPr>
                <w:rFonts w:ascii="宋体" w:hAnsi="宋体"/>
                <w:sz w:val="21"/>
                <w:szCs w:val="21"/>
              </w:rPr>
            </w:pPr>
            <w:r>
              <w:rPr>
                <w:rFonts w:ascii="宋体" w:hAnsi="宋体"/>
                <w:sz w:val="21"/>
                <w:szCs w:val="21"/>
              </w:rPr>
              <w:t>炸</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险</w:t>
            </w:r>
          </w:p>
          <w:p>
            <w:pPr>
              <w:spacing w:before="0" w:beforeLines="0" w:line="280" w:lineRule="exact"/>
              <w:ind w:firstLine="0" w:firstLineChars="0"/>
              <w:rPr>
                <w:rFonts w:ascii="宋体" w:hAnsi="宋体"/>
                <w:sz w:val="21"/>
                <w:szCs w:val="21"/>
              </w:rPr>
            </w:pPr>
            <w:r>
              <w:rPr>
                <w:rFonts w:ascii="宋体" w:hAnsi="宋体"/>
                <w:sz w:val="21"/>
                <w:szCs w:val="21"/>
              </w:rPr>
              <w:t>性</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燃烧性</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火灾危险类别</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闪点（</w:t>
            </w:r>
            <w:r>
              <w:rPr>
                <w:rFonts w:hint="eastAsia" w:ascii="宋体" w:hAnsi="宋体"/>
                <w:sz w:val="21"/>
                <w:szCs w:val="21"/>
              </w:rPr>
              <w:t>℃</w:t>
            </w:r>
            <w:r>
              <w:rPr>
                <w:rFonts w:ascii="宋体" w:hAnsi="宋体"/>
                <w:sz w:val="21"/>
                <w:szCs w:val="21"/>
              </w:rPr>
              <w:t>）</w:t>
            </w:r>
          </w:p>
        </w:tc>
        <w:tc>
          <w:tcPr>
            <w:tcW w:w="1179"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爆炸极限%</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4.1</w:t>
            </w:r>
            <w:r>
              <w:rPr>
                <w:rFonts w:ascii="宋体" w:hAnsi="宋体"/>
                <w:sz w:val="21"/>
                <w:szCs w:val="21"/>
              </w:rPr>
              <w:t>~</w:t>
            </w:r>
            <w:r>
              <w:rPr>
                <w:rFonts w:hint="eastAsia" w:ascii="宋体" w:hAnsi="宋体"/>
                <w:sz w:val="21"/>
                <w:szCs w:val="21"/>
              </w:rPr>
              <w:t>74.1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引燃温度（</w:t>
            </w:r>
            <w:r>
              <w:rPr>
                <w:rFonts w:hint="eastAsia" w:ascii="宋体" w:hAnsi="宋体"/>
                <w:sz w:val="21"/>
                <w:szCs w:val="21"/>
              </w:rPr>
              <w:t>℃</w:t>
            </w:r>
            <w:r>
              <w:rPr>
                <w:rFonts w:ascii="宋体" w:hAnsi="宋体"/>
                <w:sz w:val="21"/>
                <w:szCs w:val="21"/>
              </w:rPr>
              <w:t>）</w:t>
            </w:r>
          </w:p>
        </w:tc>
        <w:tc>
          <w:tcPr>
            <w:tcW w:w="1179"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400</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爆炸危险组别</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稳定性</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稳定</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燃烧分解产物</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危险特性</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与空气混合能形成爆炸性混合物，遇热源和明火爆炸。</w:t>
            </w:r>
            <w:r>
              <w:rPr>
                <w:rFonts w:hint="eastAsia" w:ascii="宋体" w:hAnsi="宋体"/>
                <w:sz w:val="21"/>
                <w:szCs w:val="21"/>
              </w:rPr>
              <w:t>比空气轻，在室内抵用和储存时，漏气上升窜至屋顶不易排出。遇火星会引起爆炸。氢气与氟、氯、溴等卤族素会引起剧烈反应。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危险性类别</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r>
              <w:rPr>
                <w:rFonts w:hint="eastAsia" w:ascii="宋体" w:hAnsi="宋体"/>
                <w:sz w:val="21"/>
                <w:szCs w:val="21"/>
              </w:rPr>
              <w:t>易爆</w:t>
            </w:r>
            <w:r>
              <w:rPr>
                <w:rFonts w:ascii="宋体" w:hAnsi="宋体"/>
                <w:sz w:val="21"/>
                <w:szCs w:val="21"/>
              </w:rPr>
              <w:t>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灭火方法</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切断气源。若不能切断气源，则不允许熄灭泄漏处的火焰。喷水冷却容器，可能的话将容器从火场移至空旷处。灭火剂：雾状水、泡沫、二氧化碳、干粉。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65" w:hRule="atLeast"/>
          <w:jc w:val="center"/>
        </w:trPr>
        <w:tc>
          <w:tcPr>
            <w:tcW w:w="534"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包装储存运输要求</w:t>
            </w:r>
          </w:p>
        </w:tc>
        <w:tc>
          <w:tcPr>
            <w:tcW w:w="7995" w:type="dxa"/>
            <w:gridSpan w:val="7"/>
            <w:vAlign w:val="center"/>
          </w:tcPr>
          <w:p>
            <w:pPr>
              <w:spacing w:before="0" w:beforeLines="0" w:line="280" w:lineRule="exact"/>
              <w:ind w:firstLine="0" w:firstLineChars="0"/>
              <w:rPr>
                <w:rFonts w:ascii="宋体" w:hAnsi="宋体"/>
                <w:sz w:val="21"/>
                <w:szCs w:val="21"/>
              </w:rPr>
            </w:pPr>
            <w:r>
              <w:rPr>
                <w:rFonts w:ascii="宋体" w:hAnsi="宋体"/>
                <w:sz w:val="21"/>
                <w:szCs w:val="21"/>
              </w:rPr>
              <w:t>包装分类：包装</w:t>
            </w:r>
            <w:r>
              <w:rPr>
                <w:rFonts w:hint="eastAsia" w:ascii="宋体" w:hAnsi="宋体"/>
                <w:sz w:val="21"/>
                <w:szCs w:val="21"/>
              </w:rPr>
              <w:t>类别</w:t>
            </w:r>
            <w:r>
              <w:rPr>
                <w:rFonts w:ascii="宋体" w:hAnsi="宋体"/>
                <w:sz w:val="21"/>
                <w:szCs w:val="21"/>
              </w:rPr>
              <w:t>：</w:t>
            </w:r>
            <w:r>
              <w:rPr>
                <w:rFonts w:hint="eastAsia" w:ascii="宋体" w:hAnsi="宋体"/>
                <w:sz w:val="21"/>
                <w:szCs w:val="21"/>
              </w:rPr>
              <w:t>052</w:t>
            </w:r>
            <w:r>
              <w:rPr>
                <w:rFonts w:ascii="宋体" w:hAnsi="宋体"/>
                <w:sz w:val="21"/>
                <w:szCs w:val="21"/>
              </w:rPr>
              <w:t>，包装方法：钢制气瓶。</w:t>
            </w:r>
          </w:p>
          <w:p>
            <w:pPr>
              <w:spacing w:before="0" w:beforeLines="0" w:line="280" w:lineRule="exact"/>
              <w:ind w:firstLine="0" w:firstLineChars="0"/>
              <w:rPr>
                <w:rFonts w:ascii="宋体" w:hAnsi="宋体"/>
                <w:sz w:val="21"/>
                <w:szCs w:val="21"/>
              </w:rPr>
            </w:pPr>
            <w:r>
              <w:rPr>
                <w:rFonts w:ascii="宋体" w:hAnsi="宋体"/>
                <w:sz w:val="21"/>
                <w:szCs w:val="21"/>
              </w:rPr>
              <w:t>储运注意事项：储存于阴凉、通风的</w:t>
            </w:r>
            <w:r>
              <w:rPr>
                <w:rFonts w:hint="eastAsia" w:ascii="宋体" w:hAnsi="宋体"/>
                <w:sz w:val="21"/>
                <w:szCs w:val="21"/>
              </w:rPr>
              <w:t>库房</w:t>
            </w:r>
            <w:r>
              <w:rPr>
                <w:rFonts w:ascii="宋体" w:hAnsi="宋体"/>
                <w:sz w:val="21"/>
                <w:szCs w:val="21"/>
              </w:rPr>
              <w:t>。远离火种、热源。库温不宜超过30</w:t>
            </w:r>
            <w:r>
              <w:rPr>
                <w:rFonts w:hint="eastAsia" w:ascii="宋体" w:hAnsi="宋体"/>
                <w:sz w:val="21"/>
                <w:szCs w:val="21"/>
              </w:rPr>
              <w:t>℃</w:t>
            </w:r>
            <w:r>
              <w:rPr>
                <w:rFonts w:ascii="宋体" w:hAnsi="宋体"/>
                <w:sz w:val="21"/>
                <w:szCs w:val="21"/>
              </w:rPr>
              <w:t>。</w:t>
            </w:r>
            <w:r>
              <w:rPr>
                <w:rFonts w:hint="eastAsia" w:ascii="宋体" w:hAnsi="宋体"/>
                <w:sz w:val="21"/>
                <w:szCs w:val="21"/>
              </w:rPr>
              <w:t>相对湿度不超过80%。</w:t>
            </w:r>
            <w:r>
              <w:rPr>
                <w:rFonts w:ascii="宋体" w:hAnsi="宋体"/>
                <w:sz w:val="21"/>
                <w:szCs w:val="21"/>
              </w:rPr>
              <w:t>应与氧化剂、卤素等分开存放。</w:t>
            </w:r>
            <w:r>
              <w:rPr>
                <w:rFonts w:hint="eastAsia" w:ascii="宋体" w:hAnsi="宋体"/>
                <w:sz w:val="21"/>
                <w:szCs w:val="21"/>
              </w:rPr>
              <w:t>切忌混储。</w:t>
            </w:r>
            <w:r>
              <w:rPr>
                <w:rFonts w:ascii="宋体" w:hAnsi="宋体"/>
                <w:sz w:val="21"/>
                <w:szCs w:val="21"/>
              </w:rPr>
              <w:t>储存间内的照明、通风等设施应采用防爆型，禁止使用易产生火花的机械设备和工具装卸。</w:t>
            </w:r>
            <w:r>
              <w:rPr>
                <w:rFonts w:hint="eastAsia" w:ascii="宋体" w:hAnsi="宋体"/>
                <w:sz w:val="21"/>
                <w:szCs w:val="21"/>
              </w:rPr>
              <w:t>储区应备有泄漏应急处理设施。</w:t>
            </w:r>
          </w:p>
          <w:p>
            <w:pPr>
              <w:spacing w:before="0" w:beforeLines="0" w:line="280" w:lineRule="exact"/>
              <w:ind w:firstLine="0" w:firstLineChars="0"/>
              <w:rPr>
                <w:rFonts w:ascii="宋体" w:hAnsi="宋体"/>
                <w:sz w:val="21"/>
                <w:szCs w:val="21"/>
              </w:rPr>
            </w:pPr>
            <w:r>
              <w:rPr>
                <w:rFonts w:ascii="宋体" w:hAnsi="宋体"/>
                <w:sz w:val="21"/>
                <w:szCs w:val="21"/>
              </w:rPr>
              <w:t>运输注意事项：采用</w:t>
            </w:r>
            <w:r>
              <w:rPr>
                <w:rFonts w:hint="eastAsia" w:ascii="宋体" w:hAnsi="宋体"/>
                <w:sz w:val="21"/>
                <w:szCs w:val="21"/>
              </w:rPr>
              <w:t>钢瓶</w:t>
            </w:r>
            <w:r>
              <w:rPr>
                <w:rFonts w:ascii="宋体" w:hAnsi="宋体"/>
                <w:sz w:val="21"/>
                <w:szCs w:val="21"/>
              </w:rPr>
              <w:t>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严禁与氧化剂</w:t>
            </w:r>
            <w:r>
              <w:rPr>
                <w:rFonts w:hint="eastAsia" w:ascii="宋体" w:hAnsi="宋体"/>
                <w:sz w:val="21"/>
                <w:szCs w:val="21"/>
              </w:rPr>
              <w:t>、卤素</w:t>
            </w:r>
            <w:r>
              <w:rPr>
                <w:rFonts w:ascii="宋体" w:hAnsi="宋体"/>
                <w:sz w:val="21"/>
                <w:szCs w:val="21"/>
              </w:rPr>
              <w:t xml:space="preserve">等混装混运。夏季应早晚运输，防止日光曝晒。中途停留时应远离火种、热源。公路运输时要按规定路线行驶，勿在居民区和人口稠密区停留。铁路运输时要禁止溜放。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毒</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及</w:t>
            </w:r>
          </w:p>
          <w:p>
            <w:pPr>
              <w:spacing w:before="0" w:beforeLines="0" w:line="280" w:lineRule="exact"/>
              <w:ind w:firstLine="0" w:firstLineChars="0"/>
              <w:rPr>
                <w:rFonts w:ascii="宋体" w:hAnsi="宋体"/>
                <w:sz w:val="21"/>
                <w:szCs w:val="21"/>
              </w:rPr>
            </w:pPr>
            <w:r>
              <w:rPr>
                <w:rFonts w:ascii="宋体" w:hAnsi="宋体"/>
                <w:sz w:val="21"/>
                <w:szCs w:val="21"/>
              </w:rPr>
              <w:t>健</w:t>
            </w:r>
          </w:p>
          <w:p>
            <w:pPr>
              <w:spacing w:before="0" w:beforeLines="0" w:line="280" w:lineRule="exact"/>
              <w:ind w:firstLine="0" w:firstLineChars="0"/>
              <w:rPr>
                <w:rFonts w:ascii="宋体" w:hAnsi="宋体"/>
                <w:sz w:val="21"/>
                <w:szCs w:val="21"/>
              </w:rPr>
            </w:pPr>
            <w:r>
              <w:rPr>
                <w:rFonts w:ascii="宋体" w:hAnsi="宋体"/>
                <w:sz w:val="21"/>
                <w:szCs w:val="21"/>
              </w:rPr>
              <w:t>康</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害</w:t>
            </w:r>
          </w:p>
        </w:tc>
        <w:tc>
          <w:tcPr>
            <w:tcW w:w="180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接触限值</w:t>
            </w:r>
          </w:p>
        </w:tc>
        <w:tc>
          <w:tcPr>
            <w:tcW w:w="6194"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前苏联MAC（mg/m</w:t>
            </w:r>
            <w:r>
              <w:rPr>
                <w:rFonts w:ascii="宋体" w:hAnsi="宋体"/>
                <w:sz w:val="21"/>
                <w:szCs w:val="21"/>
                <w:vertAlign w:val="superscript"/>
              </w:rPr>
              <w:t>3</w:t>
            </w:r>
            <w:r>
              <w:rPr>
                <w:rFonts w:ascii="宋体" w:hAnsi="宋体"/>
                <w:sz w:val="21"/>
                <w:szCs w:val="21"/>
              </w:rPr>
              <w:t>）：</w:t>
            </w:r>
            <w:r>
              <w:rPr>
                <w:rFonts w:hint="eastAsia"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0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侵入途径</w:t>
            </w:r>
          </w:p>
        </w:tc>
        <w:tc>
          <w:tcPr>
            <w:tcW w:w="2463"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吸入</w:t>
            </w:r>
          </w:p>
        </w:tc>
        <w:tc>
          <w:tcPr>
            <w:tcW w:w="90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危害</w:t>
            </w:r>
          </w:p>
        </w:tc>
        <w:tc>
          <w:tcPr>
            <w:tcW w:w="2822" w:type="dxa"/>
            <w:gridSpan w:val="2"/>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1"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0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健康危害</w:t>
            </w:r>
          </w:p>
        </w:tc>
        <w:tc>
          <w:tcPr>
            <w:tcW w:w="6194" w:type="dxa"/>
            <w:gridSpan w:val="6"/>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本品在生理学上是惰性气体。仅在高浓度，由于空气中氧分压奖励才引起窒息。在很高的分压下，氢气可呈现出麻醉作用</w:t>
            </w:r>
            <w:r>
              <w:rPr>
                <w:rFonts w:ascii="宋体" w:hAnsi="宋体"/>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0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防护措施</w:t>
            </w:r>
          </w:p>
        </w:tc>
        <w:tc>
          <w:tcPr>
            <w:tcW w:w="6194"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生产过程密闭，全面通风。</w:t>
            </w:r>
            <w:r>
              <w:rPr>
                <w:rFonts w:hint="eastAsia" w:ascii="宋体" w:hAnsi="宋体"/>
                <w:sz w:val="21"/>
                <w:szCs w:val="21"/>
              </w:rPr>
              <w:t>操作人员必须经专门培训。严格遵守操作规程。</w:t>
            </w:r>
            <w:r>
              <w:rPr>
                <w:rFonts w:ascii="宋体" w:hAnsi="宋体"/>
                <w:sz w:val="21"/>
                <w:szCs w:val="21"/>
              </w:rPr>
              <w:t>穿防静电工作服。</w:t>
            </w:r>
            <w:r>
              <w:rPr>
                <w:rFonts w:hint="eastAsia" w:ascii="宋体" w:hAnsi="宋体"/>
                <w:sz w:val="21"/>
                <w:szCs w:val="21"/>
              </w:rPr>
              <w:t>远离火种、热源。工作场所内严禁吸烟。使用防爆型的通风系统和设备，防止气体泄漏到工作场所内。避免与氧化剂、卤素接触，在传送过程中，钢瓶和容器上必须接地和跨接。防止传送静电。搬运时轻装轻卸。防止钢瓶和附件破损。配备相应品种和数量的消防器材和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0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急救方案</w:t>
            </w:r>
          </w:p>
        </w:tc>
        <w:tc>
          <w:tcPr>
            <w:tcW w:w="6194"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迅速脱离现场至空气新鲜处。保持呼吸道通畅。如呼吸困难，给输氧。如呼吸停止，立即进行人工呼吸。就医。</w:t>
            </w:r>
          </w:p>
        </w:tc>
      </w:tr>
    </w:tbl>
    <w:p>
      <w:pPr>
        <w:pStyle w:val="32"/>
        <w:spacing w:before="0" w:beforeLines="0" w:line="280" w:lineRule="exact"/>
        <w:ind w:firstLine="0" w:firstLineChars="0"/>
        <w:rPr>
          <w:rFonts w:ascii="宋体" w:hAnsi="宋体"/>
          <w:sz w:val="21"/>
          <w:szCs w:val="21"/>
        </w:rPr>
      </w:pPr>
    </w:p>
    <w:p>
      <w:pPr>
        <w:pStyle w:val="32"/>
        <w:spacing w:before="0" w:beforeLines="0" w:line="280" w:lineRule="exact"/>
        <w:ind w:firstLine="0" w:firstLineChars="0"/>
        <w:rPr>
          <w:rFonts w:ascii="宋体" w:hAnsi="宋体"/>
          <w:sz w:val="21"/>
          <w:szCs w:val="21"/>
        </w:rPr>
      </w:pPr>
    </w:p>
    <w:p>
      <w:pPr>
        <w:pStyle w:val="32"/>
        <w:spacing w:before="0" w:beforeLines="0" w:line="280" w:lineRule="exact"/>
        <w:ind w:firstLine="0" w:firstLineChars="0"/>
        <w:rPr>
          <w:rFonts w:ascii="宋体" w:hAnsi="宋体"/>
          <w:sz w:val="21"/>
          <w:szCs w:val="21"/>
        </w:rPr>
      </w:pPr>
    </w:p>
    <w:p>
      <w:pPr>
        <w:pStyle w:val="32"/>
        <w:spacing w:before="0" w:beforeLines="0" w:line="280" w:lineRule="exact"/>
        <w:ind w:firstLine="2100" w:firstLineChars="1000"/>
        <w:rPr>
          <w:rFonts w:ascii="宋体" w:hAnsi="宋体"/>
          <w:sz w:val="21"/>
          <w:szCs w:val="21"/>
        </w:rPr>
      </w:pPr>
      <w:r>
        <w:rPr>
          <w:rFonts w:hint="eastAsia" w:ascii="宋体" w:hAnsi="宋体"/>
          <w:sz w:val="21"/>
          <w:szCs w:val="21"/>
        </w:rPr>
        <w:t xml:space="preserve">         甲基叔丁基醚理化性质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722"/>
        <w:gridCol w:w="159"/>
        <w:gridCol w:w="1461"/>
        <w:gridCol w:w="924"/>
        <w:gridCol w:w="909"/>
        <w:gridCol w:w="217"/>
        <w:gridCol w:w="2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理</w:t>
            </w:r>
          </w:p>
          <w:p>
            <w:pPr>
              <w:spacing w:before="0" w:beforeLines="0" w:line="280" w:lineRule="exact"/>
              <w:ind w:firstLine="0" w:firstLineChars="0"/>
              <w:rPr>
                <w:rFonts w:ascii="宋体" w:hAnsi="宋体"/>
                <w:sz w:val="21"/>
                <w:szCs w:val="21"/>
              </w:rPr>
            </w:pPr>
            <w:r>
              <w:rPr>
                <w:rFonts w:ascii="宋体" w:hAnsi="宋体"/>
                <w:sz w:val="21"/>
                <w:szCs w:val="21"/>
              </w:rPr>
              <w:t>化</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质</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外观与性状</w:t>
            </w:r>
          </w:p>
        </w:tc>
        <w:tc>
          <w:tcPr>
            <w:tcW w:w="6441"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无色液体， 具有醚样气味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成分</w:t>
            </w:r>
          </w:p>
        </w:tc>
        <w:tc>
          <w:tcPr>
            <w:tcW w:w="6441"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甲基叔丁基醚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燃烧热（kJ/mol）</w:t>
            </w:r>
          </w:p>
        </w:tc>
        <w:tc>
          <w:tcPr>
            <w:tcW w:w="1461" w:type="dxa"/>
            <w:vMerge w:val="restart"/>
            <w:vAlign w:val="center"/>
          </w:tcPr>
          <w:p>
            <w:pPr>
              <w:spacing w:before="0" w:beforeLines="0" w:line="280" w:lineRule="exact"/>
              <w:ind w:firstLine="0" w:firstLineChars="0"/>
              <w:rPr>
                <w:rFonts w:ascii="宋体" w:hAnsi="宋体"/>
                <w:sz w:val="21"/>
                <w:szCs w:val="21"/>
              </w:rPr>
            </w:pP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相对密度（水=1）</w:t>
            </w:r>
          </w:p>
        </w:tc>
        <w:tc>
          <w:tcPr>
            <w:tcW w:w="293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continue"/>
            <w:vAlign w:val="center"/>
          </w:tcPr>
          <w:p>
            <w:pPr>
              <w:spacing w:before="0" w:beforeLines="0" w:line="280" w:lineRule="exact"/>
              <w:ind w:firstLine="0" w:firstLineChars="0"/>
              <w:rPr>
                <w:rFonts w:ascii="宋体" w:hAnsi="宋体"/>
                <w:sz w:val="21"/>
                <w:szCs w:val="21"/>
              </w:rPr>
            </w:pPr>
          </w:p>
        </w:tc>
        <w:tc>
          <w:tcPr>
            <w:tcW w:w="1461" w:type="dxa"/>
            <w:vMerge w:val="continue"/>
            <w:vAlign w:val="center"/>
          </w:tcPr>
          <w:p>
            <w:pPr>
              <w:spacing w:before="0" w:beforeLines="0" w:line="280" w:lineRule="exact"/>
              <w:ind w:firstLine="0" w:firstLineChars="0"/>
              <w:rPr>
                <w:rFonts w:ascii="宋体" w:hAnsi="宋体"/>
                <w:sz w:val="21"/>
                <w:szCs w:val="21"/>
              </w:rPr>
            </w:pP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相对密度（空气=1）</w:t>
            </w:r>
          </w:p>
        </w:tc>
        <w:tc>
          <w:tcPr>
            <w:tcW w:w="293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w:t>
            </w:r>
          </w:p>
          <w:p>
            <w:pPr>
              <w:spacing w:before="0" w:beforeLines="0" w:line="280" w:lineRule="exact"/>
              <w:ind w:firstLine="0" w:firstLineChars="0"/>
              <w:rPr>
                <w:rFonts w:ascii="宋体" w:hAnsi="宋体"/>
                <w:sz w:val="21"/>
                <w:szCs w:val="21"/>
              </w:rPr>
            </w:pPr>
            <w:r>
              <w:rPr>
                <w:rFonts w:ascii="宋体" w:hAnsi="宋体"/>
                <w:sz w:val="21"/>
                <w:szCs w:val="21"/>
              </w:rPr>
              <w:t>烧</w:t>
            </w:r>
          </w:p>
          <w:p>
            <w:pPr>
              <w:spacing w:before="0" w:beforeLines="0" w:line="280" w:lineRule="exact"/>
              <w:ind w:firstLine="0" w:firstLineChars="0"/>
              <w:rPr>
                <w:rFonts w:ascii="宋体" w:hAnsi="宋体"/>
                <w:sz w:val="21"/>
                <w:szCs w:val="21"/>
              </w:rPr>
            </w:pPr>
            <w:r>
              <w:rPr>
                <w:rFonts w:ascii="宋体" w:hAnsi="宋体"/>
                <w:sz w:val="21"/>
                <w:szCs w:val="21"/>
              </w:rPr>
              <w:t>爆</w:t>
            </w:r>
          </w:p>
          <w:p>
            <w:pPr>
              <w:spacing w:before="0" w:beforeLines="0" w:line="280" w:lineRule="exact"/>
              <w:ind w:firstLine="0" w:firstLineChars="0"/>
              <w:rPr>
                <w:rFonts w:ascii="宋体" w:hAnsi="宋体"/>
                <w:sz w:val="21"/>
                <w:szCs w:val="21"/>
              </w:rPr>
            </w:pPr>
            <w:r>
              <w:rPr>
                <w:rFonts w:ascii="宋体" w:hAnsi="宋体"/>
                <w:sz w:val="21"/>
                <w:szCs w:val="21"/>
              </w:rPr>
              <w:t>炸</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险</w:t>
            </w:r>
          </w:p>
          <w:p>
            <w:pPr>
              <w:spacing w:before="0" w:beforeLines="0" w:line="280" w:lineRule="exact"/>
              <w:ind w:firstLine="0" w:firstLineChars="0"/>
              <w:rPr>
                <w:rFonts w:ascii="宋体" w:hAnsi="宋体"/>
                <w:sz w:val="21"/>
                <w:szCs w:val="21"/>
              </w:rPr>
            </w:pPr>
            <w:r>
              <w:rPr>
                <w:rFonts w:ascii="宋体" w:hAnsi="宋体"/>
                <w:sz w:val="21"/>
                <w:szCs w:val="21"/>
              </w:rPr>
              <w:t>性</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燃烧性</w:t>
            </w:r>
          </w:p>
        </w:tc>
        <w:tc>
          <w:tcPr>
            <w:tcW w:w="146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建规火险性分级</w:t>
            </w:r>
          </w:p>
        </w:tc>
        <w:tc>
          <w:tcPr>
            <w:tcW w:w="293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甲B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闪点（</w:t>
            </w:r>
            <w:r>
              <w:rPr>
                <w:rFonts w:hint="eastAsia" w:ascii="宋体" w:hAnsi="宋体"/>
                <w:sz w:val="21"/>
                <w:szCs w:val="21"/>
              </w:rPr>
              <w:t>℃</w:t>
            </w:r>
            <w:r>
              <w:rPr>
                <w:rFonts w:ascii="宋体" w:hAnsi="宋体"/>
                <w:sz w:val="21"/>
                <w:szCs w:val="21"/>
              </w:rPr>
              <w:t>）</w:t>
            </w:r>
          </w:p>
        </w:tc>
        <w:tc>
          <w:tcPr>
            <w:tcW w:w="146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-10</w:t>
            </w: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爆炸极限%（V/V）</w:t>
            </w:r>
          </w:p>
        </w:tc>
        <w:tc>
          <w:tcPr>
            <w:tcW w:w="293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1.6-15.1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自燃点（</w:t>
            </w:r>
            <w:r>
              <w:rPr>
                <w:rFonts w:hint="eastAsia" w:ascii="宋体" w:hAnsi="宋体"/>
                <w:sz w:val="21"/>
                <w:szCs w:val="21"/>
              </w:rPr>
              <w:t>℃</w:t>
            </w:r>
            <w:r>
              <w:rPr>
                <w:rFonts w:ascii="宋体" w:hAnsi="宋体"/>
                <w:sz w:val="21"/>
                <w:szCs w:val="21"/>
              </w:rPr>
              <w:t>）</w:t>
            </w:r>
          </w:p>
        </w:tc>
        <w:tc>
          <w:tcPr>
            <w:tcW w:w="1461"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191.7</w:t>
            </w: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爆炸危险组别</w:t>
            </w:r>
          </w:p>
        </w:tc>
        <w:tc>
          <w:tcPr>
            <w:tcW w:w="2930"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稳定性</w:t>
            </w:r>
          </w:p>
        </w:tc>
        <w:tc>
          <w:tcPr>
            <w:tcW w:w="1461"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稳定</w:t>
            </w:r>
          </w:p>
        </w:tc>
        <w:tc>
          <w:tcPr>
            <w:tcW w:w="205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燃烧分解产物</w:t>
            </w:r>
          </w:p>
        </w:tc>
        <w:tc>
          <w:tcPr>
            <w:tcW w:w="293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11"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危险特性</w:t>
            </w:r>
          </w:p>
        </w:tc>
        <w:tc>
          <w:tcPr>
            <w:tcW w:w="6441"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易燃，其蒸气与空气可形成爆炸性混合物，遇明火、高热或与氧化剂接触，有引起燃烧爆炸的危险。与氧化剂接触猛烈反应。其蒸气比空气重，能在较低处扩散到相当远的地方，遇火源会着火回燃。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危险性类别</w:t>
            </w:r>
          </w:p>
        </w:tc>
        <w:tc>
          <w:tcPr>
            <w:tcW w:w="6441"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第3.2类 中闪点液体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3"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灭火方法</w:t>
            </w:r>
          </w:p>
        </w:tc>
        <w:tc>
          <w:tcPr>
            <w:tcW w:w="6441"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7" w:hRule="atLeast"/>
          <w:jc w:val="center"/>
        </w:trPr>
        <w:tc>
          <w:tcPr>
            <w:tcW w:w="534"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包装储存运输要求</w:t>
            </w:r>
          </w:p>
        </w:tc>
        <w:tc>
          <w:tcPr>
            <w:tcW w:w="8322" w:type="dxa"/>
            <w:gridSpan w:val="7"/>
            <w:vAlign w:val="center"/>
          </w:tcPr>
          <w:p>
            <w:pPr>
              <w:spacing w:before="0" w:beforeLines="0" w:line="280" w:lineRule="exact"/>
              <w:ind w:firstLine="0" w:firstLineChars="0"/>
              <w:rPr>
                <w:rFonts w:ascii="宋体" w:hAnsi="宋体"/>
                <w:sz w:val="21"/>
                <w:szCs w:val="21"/>
              </w:rPr>
            </w:pPr>
            <w:r>
              <w:rPr>
                <w:rFonts w:ascii="宋体" w:hAnsi="宋体"/>
                <w:sz w:val="21"/>
                <w:szCs w:val="21"/>
              </w:rPr>
              <w:t>包装分类：</w:t>
            </w:r>
            <w:r>
              <w:rPr>
                <w:rFonts w:hint="eastAsia" w:ascii="宋体" w:hAnsi="宋体"/>
                <w:sz w:val="21"/>
                <w:szCs w:val="21"/>
              </w:rPr>
              <w:t>Ⅱ</w:t>
            </w:r>
            <w:r>
              <w:rPr>
                <w:rFonts w:ascii="宋体" w:hAnsi="宋体"/>
                <w:sz w:val="21"/>
                <w:szCs w:val="21"/>
              </w:rPr>
              <w:t>，包装标志：7，</w:t>
            </w:r>
          </w:p>
          <w:p>
            <w:pPr>
              <w:spacing w:before="0" w:beforeLines="0" w:line="280" w:lineRule="exact"/>
              <w:ind w:firstLine="0" w:firstLineChars="0"/>
              <w:rPr>
                <w:rFonts w:ascii="宋体" w:hAnsi="宋体"/>
                <w:sz w:val="21"/>
                <w:szCs w:val="21"/>
              </w:rPr>
            </w:pPr>
            <w:r>
              <w:rPr>
                <w:rFonts w:ascii="宋体" w:hAnsi="宋体"/>
                <w:sz w:val="21"/>
                <w:szCs w:val="21"/>
              </w:rPr>
              <w:t>包装方法：小开口钢桶；安瓿瓶外普通木箱；螺纹口玻璃瓶、铁盖压口玻璃瓶、塑料瓶或金属桶（罐）外普通木箱。</w:t>
            </w:r>
          </w:p>
          <w:p>
            <w:pPr>
              <w:spacing w:before="0" w:beforeLines="0" w:line="280" w:lineRule="exact"/>
              <w:ind w:firstLine="0" w:firstLineChars="0"/>
              <w:rPr>
                <w:rFonts w:ascii="宋体" w:hAnsi="宋体"/>
                <w:sz w:val="21"/>
                <w:szCs w:val="21"/>
              </w:rPr>
            </w:pPr>
            <w:r>
              <w:rPr>
                <w:rFonts w:ascii="宋体" w:hAnsi="宋体"/>
                <w:sz w:val="21"/>
                <w:szCs w:val="21"/>
              </w:rPr>
              <w:t>储存注意事项：储存于阴凉、通风的库房。远离火种、热源。库温不宜超过30</w:t>
            </w:r>
            <w:r>
              <w:rPr>
                <w:rFonts w:hint="eastAsia" w:ascii="宋体" w:hAnsi="宋体"/>
                <w:sz w:val="21"/>
                <w:szCs w:val="21"/>
              </w:rPr>
              <w:t>℃</w:t>
            </w:r>
            <w:r>
              <w:rPr>
                <w:rFonts w:ascii="宋体" w:hAnsi="宋体"/>
                <w:sz w:val="21"/>
                <w:szCs w:val="21"/>
              </w:rPr>
              <w:t>。保持容器密封。应与氧化剂分开存放，切忌混储。采用防爆型照明、通风设施。禁止使用易产生火花的机械设备和工具。储区应备有泄漏应急处理设备和合适的收容材料。</w:t>
            </w:r>
          </w:p>
          <w:p>
            <w:pPr>
              <w:spacing w:before="0" w:beforeLines="0" w:line="280" w:lineRule="exact"/>
              <w:ind w:firstLine="0" w:firstLineChars="0"/>
              <w:rPr>
                <w:rFonts w:ascii="宋体" w:hAnsi="宋体"/>
                <w:sz w:val="21"/>
                <w:szCs w:val="21"/>
              </w:rPr>
            </w:pPr>
            <w:r>
              <w:rPr>
                <w:rFonts w:ascii="宋体" w:hAnsi="宋体"/>
                <w:sz w:val="21"/>
                <w:szCs w:val="21"/>
              </w:rPr>
              <w:t>运输注意事项：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毒</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及</w:t>
            </w:r>
          </w:p>
          <w:p>
            <w:pPr>
              <w:spacing w:before="0" w:beforeLines="0" w:line="280" w:lineRule="exact"/>
              <w:ind w:firstLine="0" w:firstLineChars="0"/>
              <w:rPr>
                <w:rFonts w:ascii="宋体" w:hAnsi="宋体"/>
                <w:sz w:val="21"/>
                <w:szCs w:val="21"/>
              </w:rPr>
            </w:pPr>
            <w:r>
              <w:rPr>
                <w:rFonts w:ascii="宋体" w:hAnsi="宋体"/>
                <w:sz w:val="21"/>
                <w:szCs w:val="21"/>
              </w:rPr>
              <w:t>健</w:t>
            </w:r>
          </w:p>
          <w:p>
            <w:pPr>
              <w:spacing w:before="0" w:beforeLines="0" w:line="280" w:lineRule="exact"/>
              <w:ind w:firstLine="0" w:firstLineChars="0"/>
              <w:rPr>
                <w:rFonts w:ascii="宋体" w:hAnsi="宋体"/>
                <w:sz w:val="21"/>
                <w:szCs w:val="21"/>
              </w:rPr>
            </w:pPr>
            <w:r>
              <w:rPr>
                <w:rFonts w:ascii="宋体" w:hAnsi="宋体"/>
                <w:sz w:val="21"/>
                <w:szCs w:val="21"/>
              </w:rPr>
              <w:t>康</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害</w:t>
            </w: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接触限值</w:t>
            </w:r>
          </w:p>
        </w:tc>
        <w:tc>
          <w:tcPr>
            <w:tcW w:w="6600"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中国MAC（mg/m</w:t>
            </w:r>
            <w:r>
              <w:rPr>
                <w:rFonts w:ascii="宋体" w:hAnsi="宋体"/>
                <w:sz w:val="21"/>
                <w:szCs w:val="21"/>
                <w:vertAlign w:val="superscript"/>
              </w:rPr>
              <w:t>3</w:t>
            </w:r>
            <w:r>
              <w:rPr>
                <w:rFonts w:ascii="宋体" w:hAnsi="宋体"/>
                <w:sz w:val="21"/>
                <w:szCs w:val="21"/>
              </w:rPr>
              <w:t>）：未制定标准  前苏联MAC（mg/m</w:t>
            </w:r>
            <w:r>
              <w:rPr>
                <w:rFonts w:ascii="宋体" w:hAnsi="宋体"/>
                <w:sz w:val="21"/>
                <w:szCs w:val="21"/>
                <w:vertAlign w:val="superscript"/>
              </w:rPr>
              <w:t>3</w:t>
            </w:r>
            <w:r>
              <w:rPr>
                <w:rFonts w:ascii="宋体" w:hAnsi="宋体"/>
                <w:sz w:val="21"/>
                <w:szCs w:val="21"/>
              </w:rPr>
              <w:t>）：未制定标准  TLVTN：ACGIH 40ppm，144mg/m</w:t>
            </w:r>
            <w:r>
              <w:rPr>
                <w:rFonts w:ascii="宋体" w:hAnsi="宋体"/>
                <w:sz w:val="21"/>
                <w:szCs w:val="21"/>
                <w:vertAlign w:val="superscript"/>
              </w:rPr>
              <w:t>3</w:t>
            </w:r>
            <w:r>
              <w:rPr>
                <w:rFonts w:ascii="宋体" w:hAnsi="宋体"/>
                <w:sz w:val="21"/>
                <w:szCs w:val="21"/>
              </w:rPr>
              <w:t xml:space="preserve">  TLVWN：未制定标准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侵入途径</w:t>
            </w:r>
          </w:p>
        </w:tc>
        <w:tc>
          <w:tcPr>
            <w:tcW w:w="2544"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吸入、食入、经皮吸收</w:t>
            </w:r>
          </w:p>
        </w:tc>
        <w:tc>
          <w:tcPr>
            <w:tcW w:w="90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危害</w:t>
            </w:r>
          </w:p>
        </w:tc>
        <w:tc>
          <w:tcPr>
            <w:tcW w:w="3147" w:type="dxa"/>
            <w:gridSpan w:val="2"/>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健康危害</w:t>
            </w:r>
          </w:p>
        </w:tc>
        <w:tc>
          <w:tcPr>
            <w:tcW w:w="6600"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本品蒸气或雾对眼睛、粘膜和上呼吸道有刺激作用，可引起化学性肺炎。对皮肤有刺激性。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5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防护措施</w:t>
            </w:r>
          </w:p>
        </w:tc>
        <w:tc>
          <w:tcPr>
            <w:tcW w:w="6600"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工程控制：生产过程密闭，全面通风。呼吸系统防护：可能接触其蒸气时，佩戴过滤式防毒面具（半面罩）。眼睛防护：戴化学安全防护眼镜。身体防护：穿防静电工作服。手防护：戴橡胶耐油手套。工作现场严禁吸烟。工作完毕，淋浴更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3"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急救方案</w:t>
            </w:r>
          </w:p>
        </w:tc>
        <w:tc>
          <w:tcPr>
            <w:tcW w:w="6600"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皮肤接触：脱去污染的衣着，用肥皂水和清水彻底冲洗皮肤。眼睛接触：提起眼睑，用流动清水或生理盐水冲洗。就医。吸入：迅速脱离现场至空气新鲜处。保持呼吸道通畅。如呼吸困难，给输氧。如呼吸停止，立即进行人工呼吸。就医。食入：饮足量温水，催吐。就医。</w:t>
            </w:r>
          </w:p>
        </w:tc>
      </w:tr>
    </w:tbl>
    <w:p>
      <w:pPr>
        <w:pStyle w:val="33"/>
        <w:wordWrap/>
        <w:spacing w:line="280" w:lineRule="exact"/>
        <w:ind w:left="0"/>
        <w:rPr>
          <w:rFonts w:ascii="宋体" w:hAnsi="宋体"/>
          <w:szCs w:val="21"/>
        </w:rPr>
      </w:pPr>
    </w:p>
    <w:p>
      <w:pPr>
        <w:pStyle w:val="32"/>
        <w:spacing w:before="0" w:beforeLines="0" w:line="280" w:lineRule="exact"/>
        <w:ind w:firstLine="0" w:firstLineChars="0"/>
        <w:rPr>
          <w:rFonts w:ascii="宋体" w:hAnsi="宋体"/>
          <w:sz w:val="21"/>
          <w:szCs w:val="21"/>
        </w:rPr>
      </w:pPr>
      <w:bookmarkStart w:id="190" w:name="_Toc504738833"/>
      <w:bookmarkStart w:id="191" w:name="_Toc507245800"/>
    </w:p>
    <w:p>
      <w:pPr>
        <w:pStyle w:val="32"/>
        <w:spacing w:before="0" w:beforeLines="0" w:line="280" w:lineRule="exact"/>
        <w:ind w:firstLine="2310" w:firstLineChars="1100"/>
        <w:rPr>
          <w:rFonts w:ascii="宋体" w:hAnsi="宋体"/>
          <w:sz w:val="21"/>
          <w:szCs w:val="21"/>
        </w:rPr>
      </w:pPr>
      <w:r>
        <w:rPr>
          <w:rFonts w:hint="eastAsia" w:ascii="宋体" w:hAnsi="宋体"/>
          <w:sz w:val="21"/>
          <w:szCs w:val="21"/>
        </w:rPr>
        <w:t xml:space="preserve">           甲醇理化性质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326"/>
        <w:gridCol w:w="166"/>
        <w:gridCol w:w="334"/>
        <w:gridCol w:w="168"/>
        <w:gridCol w:w="168"/>
        <w:gridCol w:w="168"/>
        <w:gridCol w:w="168"/>
        <w:gridCol w:w="836"/>
        <w:gridCol w:w="171"/>
        <w:gridCol w:w="332"/>
        <w:gridCol w:w="166"/>
        <w:gridCol w:w="59"/>
        <w:gridCol w:w="107"/>
        <w:gridCol w:w="340"/>
        <w:gridCol w:w="164"/>
        <w:gridCol w:w="166"/>
        <w:gridCol w:w="168"/>
        <w:gridCol w:w="169"/>
        <w:gridCol w:w="450"/>
        <w:gridCol w:w="50"/>
        <w:gridCol w:w="165"/>
        <w:gridCol w:w="171"/>
        <w:gridCol w:w="161"/>
        <w:gridCol w:w="169"/>
        <w:gridCol w:w="172"/>
        <w:gridCol w:w="330"/>
        <w:gridCol w:w="170"/>
        <w:gridCol w:w="176"/>
        <w:gridCol w:w="660"/>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jc w:val="center"/>
        </w:trPr>
        <w:tc>
          <w:tcPr>
            <w:tcW w:w="126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中文名称</w:t>
            </w:r>
          </w:p>
        </w:tc>
        <w:tc>
          <w:tcPr>
            <w:tcW w:w="3017" w:type="dxa"/>
            <w:gridSpan w:val="12"/>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甲醇</w:t>
            </w:r>
          </w:p>
        </w:tc>
        <w:tc>
          <w:tcPr>
            <w:tcW w:w="116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英文名称</w:t>
            </w:r>
          </w:p>
        </w:tc>
        <w:tc>
          <w:tcPr>
            <w:tcW w:w="3077" w:type="dxa"/>
            <w:gridSpan w:val="10"/>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Methyl alcohol ；:methanol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blHeader/>
          <w:jc w:val="center"/>
        </w:trPr>
        <w:tc>
          <w:tcPr>
            <w:tcW w:w="126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外观与气味</w:t>
            </w:r>
          </w:p>
        </w:tc>
        <w:tc>
          <w:tcPr>
            <w:tcW w:w="7261" w:type="dxa"/>
            <w:gridSpan w:val="28"/>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无色澄清液体，有刺激性气味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02"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熔点（℃）</w:t>
            </w:r>
          </w:p>
        </w:tc>
        <w:tc>
          <w:tcPr>
            <w:tcW w:w="83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-97.8</w:t>
            </w:r>
          </w:p>
        </w:tc>
        <w:tc>
          <w:tcPr>
            <w:tcW w:w="117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沸点（℃）</w:t>
            </w:r>
          </w:p>
        </w:tc>
        <w:tc>
          <w:tcPr>
            <w:tcW w:w="83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64.8</w:t>
            </w:r>
          </w:p>
        </w:tc>
        <w:tc>
          <w:tcPr>
            <w:tcW w:w="100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闪点（℃）</w:t>
            </w:r>
          </w:p>
        </w:tc>
        <w:tc>
          <w:tcPr>
            <w:tcW w:w="116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11</w:t>
            </w:r>
          </w:p>
        </w:tc>
        <w:tc>
          <w:tcPr>
            <w:tcW w:w="150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引燃温度（℃）</w:t>
            </w:r>
          </w:p>
        </w:tc>
        <w:tc>
          <w:tcPr>
            <w:tcW w:w="903"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相对密度</w:t>
            </w: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水＝1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0.79</w:t>
            </w:r>
          </w:p>
        </w:tc>
        <w:tc>
          <w:tcPr>
            <w:tcW w:w="1170"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毒性</w:t>
            </w:r>
          </w:p>
        </w:tc>
        <w:tc>
          <w:tcPr>
            <w:tcW w:w="1166" w:type="dxa"/>
            <w:gridSpan w:val="6"/>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2580" w:type="dxa"/>
            <w:gridSpan w:val="7"/>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空气＝1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1.11</w:t>
            </w:r>
          </w:p>
        </w:tc>
        <w:tc>
          <w:tcPr>
            <w:tcW w:w="1170" w:type="dxa"/>
            <w:gridSpan w:val="7"/>
            <w:vMerge w:val="continue"/>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166" w:type="dxa"/>
            <w:gridSpan w:val="6"/>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危害程度</w:t>
            </w:r>
          </w:p>
        </w:tc>
        <w:tc>
          <w:tcPr>
            <w:tcW w:w="2580" w:type="dxa"/>
            <w:gridSpan w:val="7"/>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爆炸极限（V%）</w:t>
            </w:r>
          </w:p>
        </w:tc>
        <w:tc>
          <w:tcPr>
            <w:tcW w:w="201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5.5～44.0</w:t>
            </w:r>
          </w:p>
        </w:tc>
        <w:tc>
          <w:tcPr>
            <w:tcW w:w="83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灭火剂</w:t>
            </w:r>
          </w:p>
        </w:tc>
        <w:tc>
          <w:tcPr>
            <w:tcW w:w="4080" w:type="dxa"/>
            <w:gridSpan w:val="1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10"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工作场所空气中容许浓度（mg/m</w:t>
            </w:r>
            <w:r>
              <w:rPr>
                <w:rFonts w:ascii="宋体" w:hAnsi="宋体"/>
                <w:snapToGrid w:val="0"/>
                <w:kern w:val="0"/>
                <w:sz w:val="21"/>
                <w:szCs w:val="21"/>
                <w:vertAlign w:val="superscript"/>
              </w:rPr>
              <w:t>3</w:t>
            </w:r>
            <w:r>
              <w:rPr>
                <w:rFonts w:ascii="宋体" w:hAnsi="宋体"/>
                <w:snapToGrid w:val="0"/>
                <w:kern w:val="0"/>
                <w:sz w:val="21"/>
                <w:szCs w:val="21"/>
              </w:rPr>
              <w:t>）</w:t>
            </w:r>
          </w:p>
        </w:tc>
        <w:tc>
          <w:tcPr>
            <w:tcW w:w="66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MAC</w:t>
            </w:r>
          </w:p>
        </w:tc>
        <w:tc>
          <w:tcPr>
            <w:tcW w:w="83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0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PC-TWA</w:t>
            </w:r>
          </w:p>
        </w:tc>
        <w:tc>
          <w:tcPr>
            <w:tcW w:w="100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25</w:t>
            </w:r>
          </w:p>
        </w:tc>
        <w:tc>
          <w:tcPr>
            <w:tcW w:w="100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PC-STEL</w:t>
            </w:r>
          </w:p>
        </w:tc>
        <w:tc>
          <w:tcPr>
            <w:tcW w:w="903"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毒物侵入途径</w:t>
            </w:r>
          </w:p>
        </w:tc>
        <w:tc>
          <w:tcPr>
            <w:tcW w:w="6591" w:type="dxa"/>
            <w:gridSpan w:val="2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物质危险性类别</w:t>
            </w:r>
          </w:p>
        </w:tc>
        <w:tc>
          <w:tcPr>
            <w:tcW w:w="2347"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第3.2类中闪点易燃液体</w:t>
            </w:r>
          </w:p>
        </w:tc>
        <w:tc>
          <w:tcPr>
            <w:tcW w:w="2005"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火灾危险性分类</w:t>
            </w:r>
          </w:p>
        </w:tc>
        <w:tc>
          <w:tcPr>
            <w:tcW w:w="223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w:t>
            </w:r>
            <w:r>
              <w:rPr>
                <w:rFonts w:ascii="宋体" w:hAnsi="宋体"/>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7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爆炸物质级别及组别</w:t>
            </w:r>
          </w:p>
        </w:tc>
        <w:tc>
          <w:tcPr>
            <w:tcW w:w="1564"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1564"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ⅡA</w:t>
            </w:r>
          </w:p>
        </w:tc>
        <w:tc>
          <w:tcPr>
            <w:tcW w:w="1564"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组别</w:t>
            </w:r>
          </w:p>
        </w:tc>
        <w:tc>
          <w:tcPr>
            <w:tcW w:w="156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危险货物编号</w:t>
            </w:r>
          </w:p>
        </w:tc>
        <w:tc>
          <w:tcPr>
            <w:tcW w:w="151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32058</w:t>
            </w:r>
          </w:p>
        </w:tc>
        <w:tc>
          <w:tcPr>
            <w:tcW w:w="1004"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UN编号</w:t>
            </w:r>
          </w:p>
        </w:tc>
        <w:tc>
          <w:tcPr>
            <w:tcW w:w="1503"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1230</w:t>
            </w:r>
          </w:p>
        </w:tc>
        <w:tc>
          <w:tcPr>
            <w:tcW w:w="100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CAS No.</w:t>
            </w:r>
          </w:p>
        </w:tc>
        <w:tc>
          <w:tcPr>
            <w:tcW w:w="17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67－56－1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包装类别</w:t>
            </w:r>
          </w:p>
        </w:tc>
        <w:tc>
          <w:tcPr>
            <w:tcW w:w="2515"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Ⅱ类</w:t>
            </w:r>
          </w:p>
        </w:tc>
        <w:tc>
          <w:tcPr>
            <w:tcW w:w="1503"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包装标志</w:t>
            </w:r>
          </w:p>
        </w:tc>
        <w:tc>
          <w:tcPr>
            <w:tcW w:w="2741"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危险特性</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易燃，其蒸汽与空气可形成爆炸性混合物，遇明火、高热能引起燃烧爆炸。与氧化剂接触发生反应或引起燃烧。在火场中，受热的容器有爆炸危险。其蒸汽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灭火方法</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尽可能的将容器从火场移至空旷处。喷水冷却容器、直至灭火结束。处在火场中的容器若已变色或从安全泄压装置中产生声音，必须马上撤离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0"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健康危害</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对中枢神经系统有明显的麻醉作用；对视神经和视网膜有特殊的选择作用，引起病变；可致代谢性酸中毒。急性中毒：短时间内大量吸入出现轻度眼、上呼吸道刺激症状；经一段时间潜伏期后出现头痛、头痛、头晕、乏力、眩晕、酒醉感、意识朦胧、甚至昏迷。视神经及视网膜出现病变，可有视物模糊、复视等，重者失明。代谢性酸中毒时出现二氧化碳结合力下降、呼吸加速等。慢性影响：神经衰弱综合症，植物神经功能失调，粘膜刺激，视力衰退等。皮肤出现脱脂、皮炎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8"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泄漏紧急处理</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速撤离泄漏污染区人员至安全处，并进行隔离，严格限制出入。切断火源。建议应急处理人员戴自给正压式呼吸器，穿防静电工作服。 不要直接接触泄漏物。尽可能切断泄漏源。防止流入下水道、排洪沟等限制性空间。小量泄漏：用砂土或其它不燃材料吸附或吸收。也可用大量水冲洗，洗水稀释后放入废水系统。大量泄漏：构筑围堤或挖坑收容。用泡沫覆盖，降低蒸汽危害。用防爆泵转移至槽车或专用收集器内，回收或运至废物处理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6"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操作处置注意事项</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密闭操作，加强通风。操作人员必须经过专门培训，严格遵守操作规程。建议操作人员佩戴自吸过滤式放毒面具，戴化学安全防护眼镜，穿防静电工作服，戴橡胶手套。远离火种、热源，工作场所严禁吸烟。使用防爆型的通风系统和设备。防止蒸汽泄漏到工作场所空气中。避免与氧化剂、酸类、碱金属接触 。灌装时应控制流速，且有接地装置，防止静电积聚。 配备相应品种和数量的消防器材及泄漏应急处理设备。倒空的容器中可能残留有害物。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1"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储存注意事项</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储存于阴凉、通风的库房内。远离火种、热源 。库温不超过30</w:t>
            </w:r>
            <w:r>
              <w:rPr>
                <w:rFonts w:ascii="宋体" w:hAnsi="宋体"/>
                <w:snapToGrid w:val="0"/>
                <w:kern w:val="0"/>
                <w:sz w:val="21"/>
                <w:szCs w:val="21"/>
                <w:vertAlign w:val="superscript"/>
              </w:rPr>
              <w:t>0</w:t>
            </w:r>
            <w:r>
              <w:rPr>
                <w:rFonts w:ascii="宋体" w:hAnsi="宋体"/>
                <w:snapToGrid w:val="0"/>
                <w:kern w:val="0"/>
                <w:sz w:val="21"/>
                <w:szCs w:val="21"/>
              </w:rPr>
              <w:t>C。保持容器密封。应与氧化剂、酸类、碱金属分开存放，切忌混储。 采用防爆型的照明、通风设施。禁止使用易产生火花的机械设备和工具。储区应备有泄漏应急处理设备和合适的收容材料。</w:t>
            </w:r>
          </w:p>
        </w:tc>
      </w:tr>
      <w:bookmarkEnd w:id="190"/>
      <w:bookmarkEnd w:id="191"/>
    </w:tbl>
    <w:p>
      <w:pPr>
        <w:pStyle w:val="32"/>
        <w:spacing w:before="0" w:beforeLines="0" w:line="280" w:lineRule="exact"/>
        <w:ind w:firstLine="0" w:firstLineChars="0"/>
        <w:rPr>
          <w:rFonts w:ascii="宋体" w:hAnsi="宋体"/>
          <w:sz w:val="21"/>
          <w:szCs w:val="21"/>
        </w:rPr>
      </w:pPr>
      <w:bookmarkStart w:id="192" w:name="_Toc507245801"/>
      <w:bookmarkStart w:id="193" w:name="_Toc504738834"/>
      <w:r>
        <w:rPr>
          <w:rFonts w:hint="eastAsia" w:ascii="宋体" w:hAnsi="宋体"/>
          <w:sz w:val="21"/>
          <w:szCs w:val="21"/>
        </w:rPr>
        <w:t xml:space="preserve">                                   </w:t>
      </w:r>
    </w:p>
    <w:p>
      <w:pPr>
        <w:pStyle w:val="32"/>
        <w:spacing w:before="0" w:beforeLines="0" w:line="280" w:lineRule="exact"/>
        <w:ind w:firstLine="3360" w:firstLineChars="1600"/>
        <w:rPr>
          <w:rFonts w:ascii="宋体" w:hAnsi="宋体"/>
          <w:sz w:val="21"/>
          <w:szCs w:val="21"/>
        </w:rPr>
      </w:pPr>
      <w:r>
        <w:rPr>
          <w:rFonts w:hint="eastAsia" w:ascii="宋体" w:hAnsi="宋体"/>
          <w:sz w:val="21"/>
          <w:szCs w:val="21"/>
        </w:rPr>
        <w:t xml:space="preserve"> 硫酸理化性质</w:t>
      </w:r>
      <w:bookmarkEnd w:id="192"/>
      <w:bookmarkEnd w:id="193"/>
    </w:p>
    <w:tbl>
      <w:tblPr>
        <w:tblStyle w:val="54"/>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76"/>
        <w:gridCol w:w="332"/>
        <w:gridCol w:w="167"/>
        <w:gridCol w:w="337"/>
        <w:gridCol w:w="169"/>
        <w:gridCol w:w="168"/>
        <w:gridCol w:w="168"/>
        <w:gridCol w:w="172"/>
        <w:gridCol w:w="840"/>
        <w:gridCol w:w="174"/>
        <w:gridCol w:w="333"/>
        <w:gridCol w:w="167"/>
        <w:gridCol w:w="168"/>
        <w:gridCol w:w="427"/>
        <w:gridCol w:w="81"/>
        <w:gridCol w:w="166"/>
        <w:gridCol w:w="171"/>
        <w:gridCol w:w="169"/>
        <w:gridCol w:w="503"/>
        <w:gridCol w:w="171"/>
        <w:gridCol w:w="171"/>
        <w:gridCol w:w="169"/>
        <w:gridCol w:w="671"/>
        <w:gridCol w:w="171"/>
        <w:gridCol w:w="674"/>
        <w:gridCol w:w="166"/>
        <w:gridCol w:w="84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75"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中文名称</w:t>
            </w:r>
          </w:p>
        </w:tc>
        <w:tc>
          <w:tcPr>
            <w:tcW w:w="3123" w:type="dxa"/>
            <w:gridSpan w:val="11"/>
            <w:vAlign w:val="center"/>
          </w:tcPr>
          <w:p>
            <w:pPr>
              <w:spacing w:before="0" w:beforeLines="0" w:line="280" w:lineRule="exact"/>
              <w:ind w:firstLine="0" w:firstLineChars="0"/>
              <w:jc w:val="center"/>
              <w:rPr>
                <w:rFonts w:ascii="宋体" w:hAnsi="宋体"/>
                <w:sz w:val="21"/>
                <w:szCs w:val="21"/>
              </w:rPr>
            </w:pPr>
            <w:r>
              <w:rPr>
                <w:rFonts w:ascii="宋体" w:hAnsi="宋体"/>
                <w:sz w:val="21"/>
                <w:szCs w:val="21"/>
                <w:shd w:val="clear" w:color="auto" w:fill="FFFFFF"/>
              </w:rPr>
              <w:t>硫酸</w:t>
            </w:r>
          </w:p>
        </w:tc>
        <w:tc>
          <w:tcPr>
            <w:tcW w:w="1090"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英文名称</w:t>
            </w:r>
          </w:p>
        </w:tc>
        <w:tc>
          <w:tcPr>
            <w:tcW w:w="3041" w:type="dxa"/>
            <w:gridSpan w:val="8"/>
            <w:vAlign w:val="center"/>
          </w:tcPr>
          <w:p>
            <w:pPr>
              <w:spacing w:before="0" w:beforeLines="0" w:line="280" w:lineRule="exact"/>
              <w:ind w:firstLine="0" w:firstLineChars="0"/>
              <w:jc w:val="center"/>
              <w:rPr>
                <w:rFonts w:ascii="宋体" w:hAnsi="宋体"/>
                <w:sz w:val="21"/>
                <w:szCs w:val="21"/>
              </w:rPr>
            </w:pPr>
            <w:r>
              <w:rPr>
                <w:rFonts w:ascii="宋体" w:hAnsi="宋体"/>
                <w:sz w:val="21"/>
                <w:szCs w:val="21"/>
                <w:shd w:val="clear" w:color="auto" w:fill="FFFFFF"/>
              </w:rPr>
              <w:t>sulfuric acid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75"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外观与气味</w:t>
            </w:r>
          </w:p>
        </w:tc>
        <w:tc>
          <w:tcPr>
            <w:tcW w:w="7254" w:type="dxa"/>
            <w:gridSpan w:val="2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shd w:val="clear" w:color="auto" w:fill="FFFFFF"/>
              </w:rPr>
              <w:t>纯品为无色透明油状液体，无臭。</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8" w:type="dxa"/>
            <w:gridSpan w:val="2"/>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熔点(</w:t>
            </w:r>
            <w:r>
              <w:rPr>
                <w:rFonts w:hint="eastAsia" w:ascii="宋体" w:hAnsi="宋体" w:cs="宋体"/>
                <w:sz w:val="21"/>
                <w:szCs w:val="21"/>
              </w:rPr>
              <w:t>℃</w:t>
            </w:r>
            <w:r>
              <w:rPr>
                <w:rFonts w:ascii="宋体" w:hAnsi="宋体"/>
                <w:sz w:val="21"/>
                <w:szCs w:val="21"/>
              </w:rPr>
              <w:t>)</w:t>
            </w:r>
          </w:p>
        </w:tc>
        <w:tc>
          <w:tcPr>
            <w:tcW w:w="841"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10.5</w:t>
            </w:r>
          </w:p>
        </w:tc>
        <w:tc>
          <w:tcPr>
            <w:tcW w:w="1180"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沸点(</w:t>
            </w:r>
            <w:r>
              <w:rPr>
                <w:rFonts w:hint="eastAsia" w:ascii="宋体" w:hAnsi="宋体" w:cs="宋体"/>
                <w:sz w:val="21"/>
                <w:szCs w:val="21"/>
              </w:rPr>
              <w:t>℃</w:t>
            </w:r>
            <w:r>
              <w:rPr>
                <w:rFonts w:ascii="宋体" w:hAnsi="宋体"/>
                <w:sz w:val="21"/>
                <w:szCs w:val="21"/>
              </w:rPr>
              <w:t>)</w:t>
            </w:r>
          </w:p>
        </w:tc>
        <w:tc>
          <w:tcPr>
            <w:tcW w:w="842"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330.0</w:t>
            </w:r>
          </w:p>
        </w:tc>
        <w:tc>
          <w:tcPr>
            <w:tcW w:w="1014"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闪点(</w:t>
            </w:r>
            <w:r>
              <w:rPr>
                <w:rFonts w:hint="eastAsia" w:ascii="宋体" w:hAnsi="宋体" w:cs="宋体"/>
                <w:sz w:val="21"/>
                <w:szCs w:val="21"/>
              </w:rPr>
              <w:t>℃</w:t>
            </w:r>
            <w:r>
              <w:rPr>
                <w:rFonts w:ascii="宋体" w:hAnsi="宋体"/>
                <w:sz w:val="21"/>
                <w:szCs w:val="21"/>
              </w:rPr>
              <w:t>)</w:t>
            </w:r>
          </w:p>
        </w:tc>
        <w:tc>
          <w:tcPr>
            <w:tcW w:w="1014"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w:t>
            </w:r>
          </w:p>
        </w:tc>
        <w:tc>
          <w:tcPr>
            <w:tcW w:w="1516"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引燃温度(</w:t>
            </w:r>
            <w:r>
              <w:rPr>
                <w:rFonts w:hint="eastAsia" w:ascii="宋体" w:hAnsi="宋体" w:cs="宋体"/>
                <w:sz w:val="21"/>
                <w:szCs w:val="21"/>
              </w:rPr>
              <w:t>℃</w:t>
            </w:r>
            <w:r>
              <w:rPr>
                <w:rFonts w:ascii="宋体" w:hAnsi="宋体"/>
                <w:sz w:val="21"/>
                <w:szCs w:val="21"/>
              </w:rPr>
              <w:t>)</w:t>
            </w:r>
          </w:p>
        </w:tc>
        <w:tc>
          <w:tcPr>
            <w:tcW w:w="1014" w:type="dxa"/>
            <w:gridSpan w:val="2"/>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8" w:type="dxa"/>
            <w:gridSpan w:val="2"/>
            <w:vMerge w:val="restart"/>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相对密度</w:t>
            </w:r>
          </w:p>
        </w:tc>
        <w:tc>
          <w:tcPr>
            <w:tcW w:w="1009"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水＝1</w:t>
            </w:r>
          </w:p>
        </w:tc>
        <w:tc>
          <w:tcPr>
            <w:tcW w:w="1519"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1.83</w:t>
            </w:r>
          </w:p>
        </w:tc>
        <w:tc>
          <w:tcPr>
            <w:tcW w:w="1180" w:type="dxa"/>
            <w:gridSpan w:val="6"/>
            <w:vMerge w:val="restart"/>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毒性</w:t>
            </w:r>
          </w:p>
        </w:tc>
        <w:tc>
          <w:tcPr>
            <w:tcW w:w="1183"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级别</w:t>
            </w:r>
          </w:p>
        </w:tc>
        <w:tc>
          <w:tcPr>
            <w:tcW w:w="2530" w:type="dxa"/>
            <w:gridSpan w:val="5"/>
            <w:vAlign w:val="center"/>
          </w:tcPr>
          <w:p>
            <w:pPr>
              <w:spacing w:before="0" w:beforeLines="0" w:line="280" w:lineRule="exact"/>
              <w:ind w:firstLine="0" w:firstLineChars="0"/>
              <w:jc w:val="center"/>
              <w:rPr>
                <w:rFonts w:ascii="宋体" w:hAnsi="宋体"/>
                <w:sz w:val="21"/>
                <w:szCs w:val="21"/>
              </w:rPr>
            </w:pPr>
            <w:r>
              <w:rPr>
                <w:rFonts w:hint="eastAsia" w:ascii="宋体" w:hAnsi="宋体" w:cs="宋体"/>
                <w:sz w:val="21"/>
                <w:szCs w:val="21"/>
              </w:rPr>
              <w:t>Ⅲ</w:t>
            </w:r>
            <w:r>
              <w:rPr>
                <w:rFonts w:ascii="宋体" w:hAnsi="宋体"/>
                <w:sz w:val="21"/>
                <w:szCs w:val="21"/>
              </w:rPr>
              <w:t>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8" w:type="dxa"/>
            <w:gridSpan w:val="2"/>
            <w:vMerge w:val="continue"/>
            <w:vAlign w:val="center"/>
          </w:tcPr>
          <w:p>
            <w:pPr>
              <w:spacing w:before="0" w:beforeLines="0" w:line="280" w:lineRule="exact"/>
              <w:ind w:firstLine="0" w:firstLineChars="0"/>
              <w:jc w:val="center"/>
              <w:rPr>
                <w:rFonts w:ascii="宋体" w:hAnsi="宋体"/>
                <w:sz w:val="21"/>
                <w:szCs w:val="21"/>
              </w:rPr>
            </w:pPr>
          </w:p>
        </w:tc>
        <w:tc>
          <w:tcPr>
            <w:tcW w:w="1009"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空气＝1</w:t>
            </w:r>
          </w:p>
        </w:tc>
        <w:tc>
          <w:tcPr>
            <w:tcW w:w="1519"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3.4</w:t>
            </w:r>
          </w:p>
        </w:tc>
        <w:tc>
          <w:tcPr>
            <w:tcW w:w="1180" w:type="dxa"/>
            <w:gridSpan w:val="6"/>
            <w:vMerge w:val="continue"/>
            <w:vAlign w:val="center"/>
          </w:tcPr>
          <w:p>
            <w:pPr>
              <w:spacing w:before="0" w:beforeLines="0" w:line="280" w:lineRule="exact"/>
              <w:ind w:firstLine="0" w:firstLineChars="0"/>
              <w:jc w:val="center"/>
              <w:rPr>
                <w:rFonts w:ascii="宋体" w:hAnsi="宋体"/>
                <w:sz w:val="21"/>
                <w:szCs w:val="21"/>
              </w:rPr>
            </w:pPr>
          </w:p>
        </w:tc>
        <w:tc>
          <w:tcPr>
            <w:tcW w:w="1183"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危害程度</w:t>
            </w:r>
          </w:p>
        </w:tc>
        <w:tc>
          <w:tcPr>
            <w:tcW w:w="2530"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中度危害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12"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爆炸极限(V%)</w:t>
            </w:r>
          </w:p>
        </w:tc>
        <w:tc>
          <w:tcPr>
            <w:tcW w:w="2024"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w:t>
            </w:r>
          </w:p>
        </w:tc>
        <w:tc>
          <w:tcPr>
            <w:tcW w:w="843"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灭火剂</w:t>
            </w:r>
          </w:p>
        </w:tc>
        <w:tc>
          <w:tcPr>
            <w:tcW w:w="4050" w:type="dxa"/>
            <w:gridSpan w:val="12"/>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干粉、二氧化碳、砂土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129" w:type="dxa"/>
            <w:gridSpan w:val="9"/>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工作场所空气中容许浓度（mg/m</w:t>
            </w:r>
            <w:r>
              <w:rPr>
                <w:rFonts w:ascii="宋体" w:hAnsi="宋体"/>
                <w:sz w:val="21"/>
                <w:szCs w:val="21"/>
                <w:vertAlign w:val="superscript"/>
              </w:rPr>
              <w:t>3</w:t>
            </w:r>
            <w:r>
              <w:rPr>
                <w:rFonts w:ascii="宋体" w:hAnsi="宋体"/>
                <w:sz w:val="21"/>
                <w:szCs w:val="21"/>
              </w:rPr>
              <w:t>）</w:t>
            </w:r>
          </w:p>
        </w:tc>
        <w:tc>
          <w:tcPr>
            <w:tcW w:w="674"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MAC</w:t>
            </w:r>
          </w:p>
        </w:tc>
        <w:tc>
          <w:tcPr>
            <w:tcW w:w="842" w:type="dxa"/>
            <w:gridSpan w:val="4"/>
            <w:vAlign w:val="center"/>
          </w:tcPr>
          <w:p>
            <w:pPr>
              <w:spacing w:before="0" w:beforeLines="0" w:line="280" w:lineRule="exact"/>
              <w:ind w:firstLine="0" w:firstLineChars="0"/>
              <w:jc w:val="center"/>
              <w:rPr>
                <w:rFonts w:ascii="宋体" w:hAnsi="宋体"/>
                <w:sz w:val="21"/>
                <w:szCs w:val="21"/>
              </w:rPr>
            </w:pPr>
            <w:r>
              <w:rPr>
                <w:rFonts w:hint="eastAsia" w:ascii="宋体" w:hAnsi="宋体"/>
                <w:sz w:val="21"/>
                <w:szCs w:val="21"/>
              </w:rPr>
              <w:t>/</w:t>
            </w:r>
          </w:p>
        </w:tc>
        <w:tc>
          <w:tcPr>
            <w:tcW w:w="1014"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PC-TWA</w:t>
            </w:r>
          </w:p>
        </w:tc>
        <w:tc>
          <w:tcPr>
            <w:tcW w:w="1011"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1</w:t>
            </w:r>
          </w:p>
        </w:tc>
        <w:tc>
          <w:tcPr>
            <w:tcW w:w="1011"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PC-STEL</w:t>
            </w:r>
          </w:p>
        </w:tc>
        <w:tc>
          <w:tcPr>
            <w:tcW w:w="848" w:type="dxa"/>
            <w:vAlign w:val="center"/>
          </w:tcPr>
          <w:p>
            <w:pPr>
              <w:spacing w:before="0" w:beforeLines="0" w:line="280" w:lineRule="exact"/>
              <w:ind w:firstLine="0" w:firstLineChars="0"/>
              <w:jc w:val="center"/>
              <w:rPr>
                <w:rFonts w:ascii="宋体" w:hAnsi="宋体"/>
                <w:sz w:val="21"/>
                <w:szCs w:val="21"/>
              </w:rPr>
            </w:pPr>
            <w:r>
              <w:rPr>
                <w:rFonts w:hint="eastAsia" w:ascii="宋体" w:hAnsi="宋体"/>
                <w:sz w:val="21"/>
                <w:szCs w:val="21"/>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49" w:type="dxa"/>
            <w:gridSpan w:val="6"/>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毒物侵入途径</w:t>
            </w:r>
          </w:p>
        </w:tc>
        <w:tc>
          <w:tcPr>
            <w:tcW w:w="6580" w:type="dxa"/>
            <w:gridSpan w:val="21"/>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吸入、食入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49" w:type="dxa"/>
            <w:gridSpan w:val="6"/>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物质危险性类别</w:t>
            </w:r>
          </w:p>
        </w:tc>
        <w:tc>
          <w:tcPr>
            <w:tcW w:w="2022"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第8.1类 酸性腐蚀品</w:t>
            </w:r>
          </w:p>
        </w:tc>
        <w:tc>
          <w:tcPr>
            <w:tcW w:w="1688"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火灾危险性分类</w:t>
            </w:r>
          </w:p>
        </w:tc>
        <w:tc>
          <w:tcPr>
            <w:tcW w:w="2870"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戊</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289" w:type="dxa"/>
            <w:gridSpan w:val="8"/>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爆炸物质级别及组别</w:t>
            </w:r>
          </w:p>
        </w:tc>
        <w:tc>
          <w:tcPr>
            <w:tcW w:w="6240" w:type="dxa"/>
            <w:gridSpan w:val="19"/>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781"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危险货物编号</w:t>
            </w:r>
          </w:p>
        </w:tc>
        <w:tc>
          <w:tcPr>
            <w:tcW w:w="1522"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81007</w:t>
            </w:r>
          </w:p>
        </w:tc>
        <w:tc>
          <w:tcPr>
            <w:tcW w:w="1095" w:type="dxa"/>
            <w:gridSpan w:val="4"/>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UN编号</w:t>
            </w:r>
          </w:p>
        </w:tc>
        <w:tc>
          <w:tcPr>
            <w:tcW w:w="1432"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1830</w:t>
            </w:r>
          </w:p>
        </w:tc>
        <w:tc>
          <w:tcPr>
            <w:tcW w:w="1011"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CAS No.</w:t>
            </w:r>
          </w:p>
        </w:tc>
        <w:tc>
          <w:tcPr>
            <w:tcW w:w="1688" w:type="dxa"/>
            <w:gridSpan w:val="3"/>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7664-93-9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781" w:type="dxa"/>
            <w:gridSpan w:val="5"/>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包装类别</w:t>
            </w:r>
          </w:p>
        </w:tc>
        <w:tc>
          <w:tcPr>
            <w:tcW w:w="2617" w:type="dxa"/>
            <w:gridSpan w:val="9"/>
            <w:vAlign w:val="center"/>
          </w:tcPr>
          <w:p>
            <w:pPr>
              <w:spacing w:before="0" w:beforeLines="0" w:line="280" w:lineRule="exact"/>
              <w:ind w:firstLine="0" w:firstLineChars="0"/>
              <w:jc w:val="center"/>
              <w:rPr>
                <w:rFonts w:ascii="宋体" w:hAnsi="宋体"/>
                <w:sz w:val="21"/>
                <w:szCs w:val="21"/>
              </w:rPr>
            </w:pPr>
            <w:r>
              <w:rPr>
                <w:rFonts w:hint="eastAsia" w:ascii="宋体" w:hAnsi="宋体" w:cs="宋体"/>
                <w:sz w:val="21"/>
                <w:szCs w:val="21"/>
              </w:rPr>
              <w:t>Ⅰ</w:t>
            </w:r>
            <w:r>
              <w:rPr>
                <w:rFonts w:ascii="宋体" w:hAnsi="宋体"/>
                <w:sz w:val="21"/>
                <w:szCs w:val="21"/>
              </w:rPr>
              <w:t>类包装</w:t>
            </w:r>
          </w:p>
        </w:tc>
        <w:tc>
          <w:tcPr>
            <w:tcW w:w="1432" w:type="dxa"/>
            <w:gridSpan w:val="7"/>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包装标志</w:t>
            </w:r>
          </w:p>
        </w:tc>
        <w:tc>
          <w:tcPr>
            <w:tcW w:w="2699" w:type="dxa"/>
            <w:gridSpan w:val="6"/>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腐蚀品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20"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危险特性</w:t>
            </w:r>
          </w:p>
        </w:tc>
        <w:tc>
          <w:tcPr>
            <w:tcW w:w="7753" w:type="dxa"/>
            <w:gridSpan w:val="26"/>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遇水大量放热, 可发生沸溅。与易燃物（如苯）和可燃物（如糖、纤维素等）接触会发生剧烈反应，甚至引起燃烧。遇电石、高氯酸盐、雷酸盐、硝酸盐、苦味酸盐、金属粉末等猛烈反应，发生爆炸或燃烧。有强烈的腐蚀性和吸水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1"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灭火方法</w:t>
            </w:r>
          </w:p>
        </w:tc>
        <w:tc>
          <w:tcPr>
            <w:tcW w:w="7753" w:type="dxa"/>
            <w:gridSpan w:val="26"/>
            <w:vAlign w:val="center"/>
          </w:tcPr>
          <w:p>
            <w:pPr>
              <w:spacing w:before="0" w:beforeLines="0" w:line="280" w:lineRule="exact"/>
              <w:ind w:firstLine="0" w:firstLineChars="0"/>
              <w:rPr>
                <w:rFonts w:ascii="宋体" w:hAnsi="宋体"/>
                <w:sz w:val="21"/>
                <w:szCs w:val="21"/>
              </w:rPr>
            </w:pPr>
            <w:r>
              <w:rPr>
                <w:rFonts w:ascii="宋体" w:hAnsi="宋体"/>
                <w:sz w:val="21"/>
                <w:szCs w:val="21"/>
              </w:rPr>
              <w:t>消防人员必须穿全身耐酸碱消防服。灭火剂：干粉、二氧化碳、砂土。避免水流冲击物品，以免遇水会放出大量热量发生喷溅而灼伤皮肤。</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909"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健康危害</w:t>
            </w:r>
          </w:p>
        </w:tc>
        <w:tc>
          <w:tcPr>
            <w:tcW w:w="7753" w:type="dxa"/>
            <w:gridSpan w:val="26"/>
            <w:vAlign w:val="center"/>
          </w:tcPr>
          <w:p>
            <w:pPr>
              <w:spacing w:before="0" w:beforeLines="0" w:line="280" w:lineRule="exact"/>
              <w:ind w:firstLine="0" w:firstLineChars="0"/>
              <w:rPr>
                <w:rFonts w:ascii="宋体" w:hAnsi="宋体"/>
                <w:sz w:val="21"/>
                <w:szCs w:val="21"/>
              </w:rPr>
            </w:pPr>
            <w:r>
              <w:rPr>
                <w:rFonts w:ascii="宋体" w:hAnsi="宋体"/>
                <w:sz w:val="21"/>
                <w:szCs w:val="21"/>
              </w:rPr>
              <w:t>对皮肤、粘膜等组织有强烈的刺激和腐蚀作用。蒸气或雾可引起结膜炎、结膜水肿、角膜混浊，以致失明；引起呼吸道刺激，重者发生呼吸困难和肺水肿；高浓度引起喉痉挛或声门水肿而窒息死亡。口服后引起消化道烧伤以致溃疡形成；严重者可能有胃穿孔、腹膜炎、肾损害、休克等。皮肤灼伤轻者出现红斑、重者形成溃疡，愈后癍痕收缩影响功能。溅入眼内可造成灼伤，甚至角膜穿孔、全眼炎以至失明。 慢性影响：牙齿酸蚀症、慢性支气管炎、肺气肿和肺硬化。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53"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泄漏紧急处理</w:t>
            </w:r>
          </w:p>
        </w:tc>
        <w:tc>
          <w:tcPr>
            <w:tcW w:w="7753" w:type="dxa"/>
            <w:gridSpan w:val="26"/>
            <w:vAlign w:val="center"/>
          </w:tcPr>
          <w:p>
            <w:pPr>
              <w:spacing w:before="0" w:beforeLines="0" w:line="280" w:lineRule="exact"/>
              <w:ind w:firstLine="0" w:firstLineChars="0"/>
              <w:rPr>
                <w:rFonts w:ascii="宋体" w:hAnsi="宋体"/>
                <w:sz w:val="21"/>
                <w:szCs w:val="21"/>
              </w:rPr>
            </w:pPr>
            <w:r>
              <w:rPr>
                <w:rFonts w:ascii="宋体" w:hAnsi="宋体"/>
                <w:sz w:val="21"/>
                <w:szCs w:val="21"/>
              </w:rPr>
              <w:t>迅速撤离泄漏污染区人员至安全区，并进行隔离，严格限制出入。建议应急处理人员戴自给正压式呼吸器，穿防酸碱工作服。不要直接接触泄漏物。尽可能切断泄漏源。防止流入下水道、排洪沟等限制性空间。小量泄漏：用砂土、干燥石灰或苏打灰混合。也可以用大量水冲洗，洗水稀释后放入废水系统。大量泄漏：构筑围堤或挖坑收容。用泵转移至槽车或专用收集器内，回收或运至废物处理场所处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114"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操作处置注意事项</w:t>
            </w:r>
          </w:p>
        </w:tc>
        <w:tc>
          <w:tcPr>
            <w:tcW w:w="7753" w:type="dxa"/>
            <w:gridSpan w:val="26"/>
            <w:vAlign w:val="center"/>
          </w:tcPr>
          <w:p>
            <w:pPr>
              <w:spacing w:before="0" w:beforeLines="0" w:line="280" w:lineRule="exact"/>
              <w:ind w:firstLine="0" w:firstLineChars="0"/>
              <w:rPr>
                <w:rFonts w:ascii="宋体" w:hAnsi="宋体"/>
                <w:sz w:val="21"/>
                <w:szCs w:val="21"/>
              </w:rPr>
            </w:pPr>
            <w:r>
              <w:rPr>
                <w:rFonts w:ascii="宋体" w:hAnsi="宋体"/>
                <w:sz w:val="21"/>
                <w:szCs w:val="21"/>
              </w:rPr>
              <w:t>密闭操作，注意通风。操作尽可能机械化、自动化。操作人员必须经过专门培训，严格遵守操作规程。建议操作人员佩戴自吸过滤式防毒面具（全面罩），穿橡胶耐酸碱服，戴橡胶耐酸碱手套。远离火种、热源，工作场所严禁吸烟。远离易燃、可燃物。防止蒸气泄漏到工作场所空气中。避免与还原剂、碱类、碱金属接触。搬运时要轻装轻卸，防止包装及容器损坏。配备相应品种和数量的消防器材及泄漏应急处理设备。倒空的容器可能残留有害物。稀释或制备溶液时，应把酸加入水中，避免沸腾和飞溅。</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95" w:hRule="atLeast"/>
          <w:jc w:val="center"/>
        </w:trPr>
        <w:tc>
          <w:tcPr>
            <w:tcW w:w="776" w:type="dxa"/>
            <w:vAlign w:val="center"/>
          </w:tcPr>
          <w:p>
            <w:pPr>
              <w:spacing w:before="0" w:beforeLines="0" w:line="280" w:lineRule="exact"/>
              <w:ind w:firstLine="0" w:firstLineChars="0"/>
              <w:jc w:val="center"/>
              <w:rPr>
                <w:rFonts w:ascii="宋体" w:hAnsi="宋体"/>
                <w:sz w:val="21"/>
                <w:szCs w:val="21"/>
              </w:rPr>
            </w:pPr>
            <w:r>
              <w:rPr>
                <w:rFonts w:ascii="宋体" w:hAnsi="宋体"/>
                <w:sz w:val="21"/>
                <w:szCs w:val="21"/>
              </w:rPr>
              <w:t>储存注意事项</w:t>
            </w:r>
          </w:p>
        </w:tc>
        <w:tc>
          <w:tcPr>
            <w:tcW w:w="7753" w:type="dxa"/>
            <w:gridSpan w:val="26"/>
            <w:vAlign w:val="center"/>
          </w:tcPr>
          <w:p>
            <w:pPr>
              <w:spacing w:before="0" w:beforeLines="0" w:line="280" w:lineRule="exact"/>
              <w:ind w:firstLine="0" w:firstLineChars="0"/>
              <w:rPr>
                <w:rFonts w:ascii="宋体" w:hAnsi="宋体"/>
                <w:sz w:val="21"/>
                <w:szCs w:val="21"/>
              </w:rPr>
            </w:pPr>
            <w:r>
              <w:rPr>
                <w:rFonts w:ascii="宋体" w:hAnsi="宋体"/>
                <w:sz w:val="21"/>
                <w:szCs w:val="21"/>
              </w:rPr>
              <w:t>储存于阴凉、通风的库房。库温不超过35</w:t>
            </w:r>
            <w:r>
              <w:rPr>
                <w:rFonts w:hint="eastAsia" w:ascii="宋体" w:hAnsi="宋体" w:cs="宋体"/>
                <w:sz w:val="21"/>
                <w:szCs w:val="21"/>
              </w:rPr>
              <w:t>℃</w:t>
            </w:r>
            <w:r>
              <w:rPr>
                <w:rFonts w:ascii="宋体" w:hAnsi="宋体"/>
                <w:sz w:val="21"/>
                <w:szCs w:val="21"/>
              </w:rPr>
              <w:t>，相对湿度不超过85％。保持容器密封。应与易（可）燃物、还原剂、碱类、碱金属、食用化学品分开存放，切忌混储。储区应备有泄漏应急处理设备和合适的收容材料。</w:t>
            </w:r>
          </w:p>
        </w:tc>
      </w:tr>
    </w:tbl>
    <w:p>
      <w:pPr>
        <w:pStyle w:val="32"/>
        <w:spacing w:before="0" w:beforeLines="0" w:line="280" w:lineRule="exact"/>
        <w:ind w:firstLine="0" w:firstLineChars="0"/>
        <w:rPr>
          <w:rFonts w:ascii="宋体" w:hAnsi="宋体"/>
          <w:sz w:val="21"/>
          <w:szCs w:val="21"/>
        </w:rPr>
      </w:pPr>
    </w:p>
    <w:p>
      <w:pPr>
        <w:pStyle w:val="32"/>
        <w:spacing w:before="0" w:beforeLines="0" w:line="280" w:lineRule="exact"/>
        <w:ind w:firstLine="210" w:firstLineChars="100"/>
        <w:rPr>
          <w:rFonts w:ascii="宋体" w:hAnsi="宋体"/>
          <w:sz w:val="21"/>
          <w:szCs w:val="21"/>
        </w:rPr>
      </w:pPr>
      <w:r>
        <w:rPr>
          <w:rFonts w:hint="eastAsia" w:ascii="宋体" w:hAnsi="宋体"/>
          <w:sz w:val="21"/>
          <w:szCs w:val="21"/>
        </w:rPr>
        <w:t xml:space="preserve">                                原油理化性质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722"/>
        <w:gridCol w:w="159"/>
        <w:gridCol w:w="1273"/>
        <w:gridCol w:w="1506"/>
        <w:gridCol w:w="752"/>
        <w:gridCol w:w="376"/>
        <w:gridCol w:w="2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 xml:space="preserve"> </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外观与性状</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黄色乃至黑色，有绿色荧光的稠厚性油状液体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成分</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烃类及烃的衍生物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燃烧热（kcal/kg）</w:t>
            </w:r>
          </w:p>
        </w:tc>
        <w:tc>
          <w:tcPr>
            <w:tcW w:w="1273" w:type="dxa"/>
            <w:vMerge w:val="restart"/>
            <w:vAlign w:val="center"/>
          </w:tcPr>
          <w:p>
            <w:pPr>
              <w:spacing w:before="0" w:beforeLines="0" w:line="280" w:lineRule="exact"/>
              <w:ind w:firstLine="0" w:firstLineChars="0"/>
              <w:rPr>
                <w:rFonts w:ascii="宋体" w:hAnsi="宋体"/>
                <w:sz w:val="21"/>
                <w:szCs w:val="21"/>
              </w:rPr>
            </w:pP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相对密度（水=1）</w:t>
            </w:r>
          </w:p>
        </w:tc>
        <w:tc>
          <w:tcPr>
            <w:tcW w:w="2583"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0.78～0.97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continue"/>
            <w:vAlign w:val="center"/>
          </w:tcPr>
          <w:p>
            <w:pPr>
              <w:spacing w:before="0" w:beforeLines="0" w:line="280" w:lineRule="exact"/>
              <w:ind w:firstLine="0" w:firstLineChars="0"/>
              <w:rPr>
                <w:rFonts w:ascii="宋体" w:hAnsi="宋体"/>
                <w:sz w:val="21"/>
                <w:szCs w:val="21"/>
              </w:rPr>
            </w:pPr>
          </w:p>
        </w:tc>
        <w:tc>
          <w:tcPr>
            <w:tcW w:w="1273" w:type="dxa"/>
            <w:vMerge w:val="continue"/>
            <w:vAlign w:val="center"/>
          </w:tcPr>
          <w:p>
            <w:pPr>
              <w:spacing w:before="0" w:beforeLines="0" w:line="280" w:lineRule="exact"/>
              <w:ind w:firstLine="0" w:firstLineChars="0"/>
              <w:rPr>
                <w:rFonts w:ascii="宋体" w:hAnsi="宋体"/>
                <w:sz w:val="21"/>
                <w:szCs w:val="21"/>
              </w:rPr>
            </w:pP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相对密度（空气=1）</w:t>
            </w:r>
          </w:p>
        </w:tc>
        <w:tc>
          <w:tcPr>
            <w:tcW w:w="2583" w:type="dxa"/>
            <w:gridSpan w:val="2"/>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w:t>
            </w:r>
          </w:p>
          <w:p>
            <w:pPr>
              <w:spacing w:before="0" w:beforeLines="0" w:line="280" w:lineRule="exact"/>
              <w:ind w:firstLine="0" w:firstLineChars="0"/>
              <w:rPr>
                <w:rFonts w:ascii="宋体" w:hAnsi="宋体"/>
                <w:sz w:val="21"/>
                <w:szCs w:val="21"/>
              </w:rPr>
            </w:pPr>
            <w:r>
              <w:rPr>
                <w:rFonts w:ascii="宋体" w:hAnsi="宋体"/>
                <w:sz w:val="21"/>
                <w:szCs w:val="21"/>
              </w:rPr>
              <w:t>烧</w:t>
            </w:r>
          </w:p>
          <w:p>
            <w:pPr>
              <w:spacing w:before="0" w:beforeLines="0" w:line="280" w:lineRule="exact"/>
              <w:ind w:firstLine="0" w:firstLineChars="0"/>
              <w:rPr>
                <w:rFonts w:ascii="宋体" w:hAnsi="宋体"/>
                <w:sz w:val="21"/>
                <w:szCs w:val="21"/>
              </w:rPr>
            </w:pPr>
            <w:r>
              <w:rPr>
                <w:rFonts w:ascii="宋体" w:hAnsi="宋体"/>
                <w:sz w:val="21"/>
                <w:szCs w:val="21"/>
              </w:rPr>
              <w:t>爆</w:t>
            </w:r>
          </w:p>
          <w:p>
            <w:pPr>
              <w:spacing w:before="0" w:beforeLines="0" w:line="280" w:lineRule="exact"/>
              <w:ind w:firstLine="0" w:firstLineChars="0"/>
              <w:rPr>
                <w:rFonts w:ascii="宋体" w:hAnsi="宋体"/>
                <w:sz w:val="21"/>
                <w:szCs w:val="21"/>
              </w:rPr>
            </w:pPr>
            <w:r>
              <w:rPr>
                <w:rFonts w:ascii="宋体" w:hAnsi="宋体"/>
                <w:sz w:val="21"/>
                <w:szCs w:val="21"/>
              </w:rPr>
              <w:t>炸</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险</w:t>
            </w:r>
          </w:p>
          <w:p>
            <w:pPr>
              <w:spacing w:before="0" w:beforeLines="0" w:line="280" w:lineRule="exact"/>
              <w:ind w:firstLine="0" w:firstLineChars="0"/>
              <w:rPr>
                <w:rFonts w:ascii="宋体" w:hAnsi="宋体"/>
                <w:sz w:val="21"/>
                <w:szCs w:val="21"/>
              </w:rPr>
            </w:pPr>
            <w:r>
              <w:rPr>
                <w:rFonts w:ascii="宋体" w:hAnsi="宋体"/>
                <w:sz w:val="21"/>
                <w:szCs w:val="21"/>
              </w:rPr>
              <w:t>性</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燃烧性</w:t>
            </w:r>
          </w:p>
        </w:tc>
        <w:tc>
          <w:tcPr>
            <w:tcW w:w="1273"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建规火险性分级</w:t>
            </w:r>
          </w:p>
        </w:tc>
        <w:tc>
          <w:tcPr>
            <w:tcW w:w="2583"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甲</w:t>
            </w:r>
            <w:r>
              <w:rPr>
                <w:rFonts w:hint="eastAsia" w:ascii="宋体" w:hAnsi="宋体"/>
                <w:sz w:val="21"/>
                <w:szCs w:val="21"/>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闪点(</w:t>
            </w:r>
            <w:r>
              <w:rPr>
                <w:rFonts w:hint="eastAsia" w:ascii="宋体" w:hAnsi="宋体"/>
                <w:sz w:val="21"/>
                <w:szCs w:val="21"/>
              </w:rPr>
              <w:t>℃</w:t>
            </w:r>
            <w:r>
              <w:rPr>
                <w:rFonts w:ascii="宋体" w:hAnsi="宋体"/>
                <w:sz w:val="21"/>
                <w:szCs w:val="21"/>
              </w:rPr>
              <w:t>)</w:t>
            </w:r>
          </w:p>
        </w:tc>
        <w:tc>
          <w:tcPr>
            <w:tcW w:w="1273" w:type="dxa"/>
            <w:vAlign w:val="center"/>
          </w:tcPr>
          <w:p>
            <w:pPr>
              <w:spacing w:before="0" w:beforeLines="0" w:line="280" w:lineRule="exact"/>
              <w:ind w:firstLine="0" w:firstLineChars="0"/>
              <w:rPr>
                <w:rFonts w:ascii="宋体" w:hAnsi="宋体"/>
                <w:sz w:val="21"/>
                <w:szCs w:val="21"/>
              </w:rPr>
            </w:pPr>
            <w:r>
              <w:rPr>
                <w:rFonts w:ascii="宋体" w:hAnsi="宋体"/>
                <w:sz w:val="21"/>
                <w:szCs w:val="21"/>
              </w:rPr>
              <w:t>-6.67～</w:t>
            </w:r>
            <w:r>
              <w:rPr>
                <w:rFonts w:hint="eastAsia" w:ascii="宋体" w:hAnsi="宋体"/>
                <w:sz w:val="21"/>
                <w:szCs w:val="21"/>
              </w:rPr>
              <w:t>32.2</w:t>
            </w: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爆炸极限</w:t>
            </w:r>
          </w:p>
        </w:tc>
        <w:tc>
          <w:tcPr>
            <w:tcW w:w="2583"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1.1～8.7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自燃点(</w:t>
            </w:r>
            <w:r>
              <w:rPr>
                <w:rFonts w:hint="eastAsia" w:ascii="宋体" w:hAnsi="宋体"/>
                <w:sz w:val="21"/>
                <w:szCs w:val="21"/>
              </w:rPr>
              <w:t>℃</w:t>
            </w:r>
            <w:r>
              <w:rPr>
                <w:rFonts w:ascii="宋体" w:hAnsi="宋体"/>
                <w:sz w:val="21"/>
                <w:szCs w:val="21"/>
              </w:rPr>
              <w:t>)</w:t>
            </w:r>
          </w:p>
        </w:tc>
        <w:tc>
          <w:tcPr>
            <w:tcW w:w="1273" w:type="dxa"/>
            <w:vAlign w:val="center"/>
          </w:tcPr>
          <w:p>
            <w:pPr>
              <w:spacing w:before="0" w:beforeLines="0" w:line="280" w:lineRule="exact"/>
              <w:ind w:firstLine="0" w:firstLineChars="0"/>
              <w:rPr>
                <w:rFonts w:ascii="宋体" w:hAnsi="宋体"/>
                <w:sz w:val="21"/>
                <w:szCs w:val="21"/>
              </w:rPr>
            </w:pPr>
            <w:r>
              <w:rPr>
                <w:rFonts w:ascii="宋体" w:hAnsi="宋体"/>
                <w:sz w:val="21"/>
                <w:szCs w:val="21"/>
              </w:rPr>
              <w:t>350</w:t>
            </w: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爆炸危险组别</w:t>
            </w:r>
          </w:p>
        </w:tc>
        <w:tc>
          <w:tcPr>
            <w:tcW w:w="2583" w:type="dxa"/>
            <w:gridSpan w:val="2"/>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稳定性</w:t>
            </w:r>
          </w:p>
        </w:tc>
        <w:tc>
          <w:tcPr>
            <w:tcW w:w="1273"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稳定</w:t>
            </w:r>
          </w:p>
        </w:tc>
        <w:tc>
          <w:tcPr>
            <w:tcW w:w="225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燃烧分解产物</w:t>
            </w:r>
          </w:p>
        </w:tc>
        <w:tc>
          <w:tcPr>
            <w:tcW w:w="2583"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危险特性</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其蒸气与空气形成爆炸性混合物，遇明火、高热能引起燃烧爆炸。与氧化剂能发生强烈反应。遇高热分解出有毒的烟雾。其燃烧爆炸危险性与轻汽油相似。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6"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危险性类别</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第3.2类 中闪点易燃液体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3"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灭火方法</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泡沫、干粉、二氧化碳、砂土。用水灭火无效。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包装储存运输要求</w:t>
            </w:r>
          </w:p>
        </w:tc>
        <w:tc>
          <w:tcPr>
            <w:tcW w:w="7995" w:type="dxa"/>
            <w:gridSpan w:val="7"/>
            <w:vAlign w:val="center"/>
          </w:tcPr>
          <w:p>
            <w:pPr>
              <w:spacing w:before="0" w:beforeLines="0" w:line="280" w:lineRule="exact"/>
              <w:ind w:firstLine="0" w:firstLineChars="0"/>
              <w:rPr>
                <w:rFonts w:ascii="宋体" w:hAnsi="宋体"/>
                <w:sz w:val="21"/>
                <w:szCs w:val="21"/>
              </w:rPr>
            </w:pPr>
            <w:r>
              <w:rPr>
                <w:rFonts w:ascii="宋体" w:hAnsi="宋体"/>
                <w:sz w:val="21"/>
                <w:szCs w:val="21"/>
              </w:rPr>
              <w:t>包装标志：易燃液体。包装类别：</w:t>
            </w:r>
            <w:r>
              <w:rPr>
                <w:rFonts w:hint="eastAsia" w:ascii="宋体" w:hAnsi="宋体"/>
                <w:sz w:val="21"/>
                <w:szCs w:val="21"/>
              </w:rPr>
              <w:t>Ⅱ</w:t>
            </w:r>
            <w:r>
              <w:rPr>
                <w:rFonts w:ascii="宋体" w:hAnsi="宋体"/>
                <w:sz w:val="21"/>
                <w:szCs w:val="21"/>
              </w:rPr>
              <w:t>。</w:t>
            </w:r>
          </w:p>
          <w:p>
            <w:pPr>
              <w:spacing w:before="0" w:beforeLines="0" w:line="280" w:lineRule="exact"/>
              <w:ind w:firstLine="0" w:firstLineChars="0"/>
              <w:rPr>
                <w:rFonts w:ascii="宋体" w:hAnsi="宋体"/>
                <w:sz w:val="21"/>
                <w:szCs w:val="21"/>
              </w:rPr>
            </w:pPr>
            <w:r>
              <w:rPr>
                <w:rFonts w:ascii="宋体" w:hAnsi="宋体"/>
                <w:sz w:val="21"/>
                <w:szCs w:val="21"/>
              </w:rPr>
              <w:t>用油罐、油罐车、油船、铁桶、塑料桶等盛装，成装饰，切不可充满，要留出必要的安全空间、储存于阴凉、通风处，储存温度不超过37</w:t>
            </w:r>
            <w:r>
              <w:rPr>
                <w:rFonts w:hint="eastAsia" w:ascii="宋体" w:hAnsi="宋体"/>
                <w:sz w:val="21"/>
                <w:szCs w:val="21"/>
              </w:rPr>
              <w:t>℃</w:t>
            </w:r>
            <w:r>
              <w:rPr>
                <w:rFonts w:ascii="宋体" w:hAnsi="宋体"/>
                <w:sz w:val="21"/>
                <w:szCs w:val="21"/>
              </w:rPr>
              <w:t>。远离火种、热源，炎热季节应采取喷淋、通风等降温措施。罐储时要有防火防爆技术措施。防止静电积聚。搬运时轻装轻卸，防止容器受损。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毒</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及</w:t>
            </w:r>
          </w:p>
          <w:p>
            <w:pPr>
              <w:spacing w:before="0" w:beforeLines="0" w:line="280" w:lineRule="exact"/>
              <w:ind w:firstLine="0" w:firstLineChars="0"/>
              <w:rPr>
                <w:rFonts w:ascii="宋体" w:hAnsi="宋体"/>
                <w:sz w:val="21"/>
                <w:szCs w:val="21"/>
              </w:rPr>
            </w:pPr>
            <w:r>
              <w:rPr>
                <w:rFonts w:ascii="宋体" w:hAnsi="宋体"/>
                <w:sz w:val="21"/>
                <w:szCs w:val="21"/>
              </w:rPr>
              <w:t>健</w:t>
            </w:r>
          </w:p>
          <w:p>
            <w:pPr>
              <w:spacing w:before="0" w:beforeLines="0" w:line="280" w:lineRule="exact"/>
              <w:ind w:firstLine="0" w:firstLineChars="0"/>
              <w:rPr>
                <w:rFonts w:ascii="宋体" w:hAnsi="宋体"/>
                <w:sz w:val="21"/>
                <w:szCs w:val="21"/>
              </w:rPr>
            </w:pPr>
            <w:r>
              <w:rPr>
                <w:rFonts w:ascii="宋体" w:hAnsi="宋体"/>
                <w:sz w:val="21"/>
                <w:szCs w:val="21"/>
              </w:rPr>
              <w:t>康</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害</w:t>
            </w: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接触限值</w:t>
            </w:r>
          </w:p>
        </w:tc>
        <w:tc>
          <w:tcPr>
            <w:tcW w:w="6273"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中国MAC 未制定标准；前苏联MAC 10mg/m</w:t>
            </w:r>
            <w:r>
              <w:rPr>
                <w:rFonts w:ascii="宋体" w:hAnsi="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8"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侵入途径</w:t>
            </w:r>
          </w:p>
        </w:tc>
        <w:tc>
          <w:tcPr>
            <w:tcW w:w="2938"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吸入、食入、经皮吸收</w:t>
            </w:r>
          </w:p>
        </w:tc>
        <w:tc>
          <w:tcPr>
            <w:tcW w:w="112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危害</w:t>
            </w:r>
          </w:p>
        </w:tc>
        <w:tc>
          <w:tcPr>
            <w:tcW w:w="2207" w:type="dxa"/>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健康危害</w:t>
            </w:r>
          </w:p>
        </w:tc>
        <w:tc>
          <w:tcPr>
            <w:tcW w:w="6273"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原油本身无明显毒性。其不同的产品和中间产品表现出不同的毒性。遇热分解出有毒的烟雾。吸入大量蒸汽能引起神经麻痹。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15"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防护措施</w:t>
            </w:r>
          </w:p>
        </w:tc>
        <w:tc>
          <w:tcPr>
            <w:tcW w:w="6273"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生产过程密闭，全面通风。提供安全淋浴和洗眼设备。高浓度环境中，应佩戴防毒口罩。紧急事态抢救或撤离时，建议佩戴自给式呼吸器。戴化学安全防护眼镜，穿防腐工作服。戴橡皮胶手套。工作后，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7"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722"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z w:val="21"/>
                <w:szCs w:val="21"/>
              </w:rPr>
            </w:pPr>
            <w:r>
              <w:rPr>
                <w:rFonts w:ascii="宋体" w:hAnsi="宋体"/>
                <w:snapToGrid w:val="0"/>
                <w:kern w:val="0"/>
                <w:sz w:val="21"/>
                <w:szCs w:val="21"/>
              </w:rPr>
              <w:t>泄漏紧急处理</w:t>
            </w:r>
          </w:p>
        </w:tc>
        <w:tc>
          <w:tcPr>
            <w:tcW w:w="6273" w:type="dxa"/>
            <w:gridSpan w:val="6"/>
            <w:vAlign w:val="center"/>
          </w:tcPr>
          <w:p>
            <w:pPr>
              <w:autoSpaceDE w:val="0"/>
              <w:autoSpaceDN w:val="0"/>
              <w:adjustRightInd w:val="0"/>
              <w:snapToGrid w:val="0"/>
              <w:spacing w:before="0" w:beforeLines="0" w:line="280" w:lineRule="exact"/>
              <w:ind w:firstLine="0" w:firstLineChars="0"/>
              <w:textAlignment w:val="bottom"/>
              <w:rPr>
                <w:rFonts w:ascii="宋体" w:hAnsi="宋体"/>
                <w:sz w:val="21"/>
                <w:szCs w:val="21"/>
              </w:rPr>
            </w:pPr>
            <w:r>
              <w:rPr>
                <w:rFonts w:ascii="宋体" w:hAnsi="宋体"/>
                <w:snapToGrid w:val="0"/>
                <w:kern w:val="0"/>
                <w:sz w:val="21"/>
                <w:szCs w:val="21"/>
              </w:rPr>
              <w:t>迅速撤离泄漏污染区人员至上风，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bl>
    <w:p>
      <w:pPr>
        <w:spacing w:before="0" w:beforeLines="0" w:line="280" w:lineRule="exact"/>
        <w:ind w:firstLine="0" w:firstLineChars="0"/>
        <w:rPr>
          <w:rFonts w:ascii="宋体" w:hAnsi="宋体"/>
          <w:sz w:val="21"/>
          <w:szCs w:val="21"/>
        </w:rPr>
      </w:pPr>
    </w:p>
    <w:p>
      <w:pPr>
        <w:pStyle w:val="32"/>
        <w:spacing w:before="0" w:beforeLines="0" w:line="280" w:lineRule="exact"/>
        <w:ind w:firstLine="0" w:firstLineChars="0"/>
        <w:rPr>
          <w:rFonts w:ascii="宋体" w:hAnsi="宋体"/>
          <w:sz w:val="21"/>
          <w:szCs w:val="21"/>
        </w:rPr>
      </w:pPr>
    </w:p>
    <w:p>
      <w:pPr>
        <w:pStyle w:val="33"/>
        <w:wordWrap/>
        <w:spacing w:line="280" w:lineRule="exact"/>
        <w:ind w:left="0"/>
        <w:rPr>
          <w:rFonts w:ascii="宋体" w:hAnsi="宋体"/>
          <w:szCs w:val="21"/>
        </w:rPr>
      </w:pPr>
    </w:p>
    <w:p>
      <w:pPr>
        <w:pStyle w:val="32"/>
        <w:spacing w:before="0" w:beforeLines="0" w:line="280" w:lineRule="exact"/>
        <w:ind w:firstLine="0" w:firstLineChars="0"/>
        <w:rPr>
          <w:rFonts w:ascii="宋体" w:hAnsi="宋体"/>
          <w:sz w:val="21"/>
          <w:szCs w:val="21"/>
        </w:rPr>
      </w:pPr>
      <w:bookmarkStart w:id="194" w:name="_Toc507245792"/>
      <w:bookmarkStart w:id="195" w:name="_Toc504738825"/>
      <w:r>
        <w:rPr>
          <w:rFonts w:hint="eastAsia" w:ascii="宋体" w:hAnsi="宋体"/>
          <w:sz w:val="21"/>
          <w:szCs w:val="21"/>
        </w:rPr>
        <w:t xml:space="preserve">                                煤油理化性质</w:t>
      </w:r>
    </w:p>
    <w:bookmarkEnd w:id="194"/>
    <w:bookmarkEnd w:id="195"/>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48"/>
        <w:gridCol w:w="733"/>
        <w:gridCol w:w="1179"/>
        <w:gridCol w:w="1204"/>
        <w:gridCol w:w="910"/>
        <w:gridCol w:w="216"/>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理</w:t>
            </w:r>
          </w:p>
          <w:p>
            <w:pPr>
              <w:spacing w:before="0" w:beforeLines="0" w:line="280" w:lineRule="exact"/>
              <w:ind w:firstLine="0" w:firstLineChars="0"/>
              <w:rPr>
                <w:rFonts w:ascii="宋体" w:hAnsi="宋体"/>
                <w:sz w:val="21"/>
                <w:szCs w:val="21"/>
              </w:rPr>
            </w:pPr>
            <w:r>
              <w:rPr>
                <w:rFonts w:ascii="宋体" w:hAnsi="宋体"/>
                <w:sz w:val="21"/>
                <w:szCs w:val="21"/>
              </w:rPr>
              <w:t>化</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质</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外观与性状</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水白色至淡黄色流动性油状液体，易挥发。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危险货物编号</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33501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燃烧热（kcal/kg）</w:t>
            </w:r>
          </w:p>
        </w:tc>
        <w:tc>
          <w:tcPr>
            <w:tcW w:w="1179" w:type="dxa"/>
            <w:vMerge w:val="restart"/>
            <w:vAlign w:val="center"/>
          </w:tcPr>
          <w:p>
            <w:pPr>
              <w:spacing w:before="0" w:beforeLines="0" w:line="280" w:lineRule="exact"/>
              <w:ind w:firstLine="0" w:firstLineChars="0"/>
              <w:rPr>
                <w:rFonts w:ascii="宋体" w:hAnsi="宋体"/>
                <w:sz w:val="21"/>
                <w:szCs w:val="21"/>
              </w:rPr>
            </w:pP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相对密度（水=1）</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0.8～1.0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2"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Merge w:val="continue"/>
            <w:vAlign w:val="center"/>
          </w:tcPr>
          <w:p>
            <w:pPr>
              <w:spacing w:before="0" w:beforeLines="0" w:line="280" w:lineRule="exact"/>
              <w:ind w:firstLine="0" w:firstLineChars="0"/>
              <w:rPr>
                <w:rFonts w:ascii="宋体" w:hAnsi="宋体"/>
                <w:sz w:val="21"/>
                <w:szCs w:val="21"/>
              </w:rPr>
            </w:pPr>
          </w:p>
        </w:tc>
        <w:tc>
          <w:tcPr>
            <w:tcW w:w="1179" w:type="dxa"/>
            <w:vMerge w:val="continue"/>
            <w:vAlign w:val="center"/>
          </w:tcPr>
          <w:p>
            <w:pPr>
              <w:spacing w:before="0" w:beforeLines="0" w:line="280" w:lineRule="exact"/>
              <w:ind w:firstLine="0" w:firstLineChars="0"/>
              <w:rPr>
                <w:rFonts w:ascii="宋体" w:hAnsi="宋体"/>
                <w:sz w:val="21"/>
                <w:szCs w:val="21"/>
              </w:rPr>
            </w:pP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相对密度（空气=1）</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w:t>
            </w:r>
          </w:p>
          <w:p>
            <w:pPr>
              <w:spacing w:before="0" w:beforeLines="0" w:line="280" w:lineRule="exact"/>
              <w:ind w:firstLine="0" w:firstLineChars="0"/>
              <w:rPr>
                <w:rFonts w:ascii="宋体" w:hAnsi="宋体"/>
                <w:sz w:val="21"/>
                <w:szCs w:val="21"/>
              </w:rPr>
            </w:pPr>
            <w:r>
              <w:rPr>
                <w:rFonts w:ascii="宋体" w:hAnsi="宋体"/>
                <w:sz w:val="21"/>
                <w:szCs w:val="21"/>
              </w:rPr>
              <w:t>烧</w:t>
            </w:r>
          </w:p>
          <w:p>
            <w:pPr>
              <w:spacing w:before="0" w:beforeLines="0" w:line="280" w:lineRule="exact"/>
              <w:ind w:firstLine="0" w:firstLineChars="0"/>
              <w:rPr>
                <w:rFonts w:ascii="宋体" w:hAnsi="宋体"/>
                <w:sz w:val="21"/>
                <w:szCs w:val="21"/>
              </w:rPr>
            </w:pPr>
            <w:r>
              <w:rPr>
                <w:rFonts w:ascii="宋体" w:hAnsi="宋体"/>
                <w:sz w:val="21"/>
                <w:szCs w:val="21"/>
              </w:rPr>
              <w:t>爆</w:t>
            </w:r>
          </w:p>
          <w:p>
            <w:pPr>
              <w:spacing w:before="0" w:beforeLines="0" w:line="280" w:lineRule="exact"/>
              <w:ind w:firstLine="0" w:firstLineChars="0"/>
              <w:rPr>
                <w:rFonts w:ascii="宋体" w:hAnsi="宋体"/>
                <w:sz w:val="21"/>
                <w:szCs w:val="21"/>
              </w:rPr>
            </w:pPr>
            <w:r>
              <w:rPr>
                <w:rFonts w:ascii="宋体" w:hAnsi="宋体"/>
                <w:sz w:val="21"/>
                <w:szCs w:val="21"/>
              </w:rPr>
              <w:t>炸</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险</w:t>
            </w:r>
          </w:p>
          <w:p>
            <w:pPr>
              <w:spacing w:before="0" w:beforeLines="0" w:line="280" w:lineRule="exact"/>
              <w:ind w:firstLine="0" w:firstLineChars="0"/>
              <w:rPr>
                <w:rFonts w:ascii="宋体" w:hAnsi="宋体"/>
                <w:sz w:val="21"/>
                <w:szCs w:val="21"/>
              </w:rPr>
            </w:pPr>
            <w:r>
              <w:rPr>
                <w:rFonts w:ascii="宋体" w:hAnsi="宋体"/>
                <w:sz w:val="21"/>
                <w:szCs w:val="21"/>
              </w:rPr>
              <w:t>性</w:t>
            </w: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燃烧性</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建规火险性分级</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乙类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闪点(</w:t>
            </w:r>
            <w:r>
              <w:rPr>
                <w:rFonts w:hint="eastAsia" w:ascii="宋体" w:hAnsi="宋体"/>
                <w:sz w:val="21"/>
                <w:szCs w:val="21"/>
              </w:rPr>
              <w:t>℃</w:t>
            </w:r>
            <w:r>
              <w:rPr>
                <w:rFonts w:ascii="宋体" w:hAnsi="宋体"/>
                <w:sz w:val="21"/>
                <w:szCs w:val="21"/>
              </w:rPr>
              <w:t>)</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43~72</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爆炸极限%</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0.7～5.0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自燃点(</w:t>
            </w:r>
            <w:r>
              <w:rPr>
                <w:rFonts w:hint="eastAsia" w:ascii="宋体" w:hAnsi="宋体"/>
                <w:sz w:val="21"/>
                <w:szCs w:val="21"/>
              </w:rPr>
              <w:t>℃</w:t>
            </w:r>
            <w:r>
              <w:rPr>
                <w:rFonts w:ascii="宋体" w:hAnsi="宋体"/>
                <w:sz w:val="21"/>
                <w:szCs w:val="21"/>
              </w:rPr>
              <w:t>)</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380~425</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爆炸危险组别</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稳定性</w:t>
            </w:r>
          </w:p>
        </w:tc>
        <w:tc>
          <w:tcPr>
            <w:tcW w:w="117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稳定</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燃烧分解产物</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危险特性</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其蒸气与空气形成爆炸性混合物，遇明火、高热能引起燃烧爆炸。与氧化剂能发生强烈反应。若遇高热，容器内压增大，有开裂和爆炸的危险。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危险性类别</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第3.3类  高闪点易燃液体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881"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灭火方法</w:t>
            </w:r>
          </w:p>
        </w:tc>
        <w:tc>
          <w:tcPr>
            <w:tcW w:w="6114"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泡沫、二氧化碳、干粉、砂土。用水灭火无效。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jc w:val="center"/>
        </w:trPr>
        <w:tc>
          <w:tcPr>
            <w:tcW w:w="534"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包装储存运输要求</w:t>
            </w:r>
          </w:p>
        </w:tc>
        <w:tc>
          <w:tcPr>
            <w:tcW w:w="7995" w:type="dxa"/>
            <w:gridSpan w:val="7"/>
            <w:vAlign w:val="center"/>
          </w:tcPr>
          <w:p>
            <w:pPr>
              <w:spacing w:before="0" w:beforeLines="0" w:line="280" w:lineRule="exact"/>
              <w:ind w:firstLine="0" w:firstLineChars="0"/>
              <w:rPr>
                <w:rFonts w:ascii="宋体" w:hAnsi="宋体"/>
                <w:sz w:val="21"/>
                <w:szCs w:val="21"/>
              </w:rPr>
            </w:pPr>
            <w:r>
              <w:rPr>
                <w:rFonts w:ascii="宋体" w:hAnsi="宋体"/>
                <w:sz w:val="21"/>
                <w:szCs w:val="21"/>
              </w:rPr>
              <w:t>包装类别：</w:t>
            </w:r>
            <w:r>
              <w:rPr>
                <w:rFonts w:hint="eastAsia" w:ascii="宋体" w:hAnsi="宋体"/>
                <w:sz w:val="21"/>
                <w:szCs w:val="21"/>
              </w:rPr>
              <w:t>Ⅲ</w:t>
            </w:r>
          </w:p>
          <w:p>
            <w:pPr>
              <w:spacing w:before="0" w:beforeLines="0" w:line="280" w:lineRule="exact"/>
              <w:ind w:firstLine="0" w:firstLineChars="0"/>
              <w:rPr>
                <w:rFonts w:ascii="宋体" w:hAnsi="宋体"/>
                <w:sz w:val="21"/>
                <w:szCs w:val="21"/>
              </w:rPr>
            </w:pPr>
            <w:r>
              <w:rPr>
                <w:rFonts w:ascii="宋体" w:hAnsi="宋体"/>
                <w:sz w:val="21"/>
                <w:szCs w:val="21"/>
              </w:rPr>
              <w:t>包装方法：小开口钢桶；薄钢板桶或镀锡薄钢板桶（罐）外花格箱；螺纹口玻璃瓶、铁盖压口玻璃瓶、塑料瓶或金属桶（罐）外普通木箱；螺纹口玻璃瓶、塑料瓶或镀锡薄钢板桶（罐）外满底板花格箱、纤维板箱或胶合板箱。</w:t>
            </w:r>
          </w:p>
          <w:p>
            <w:pPr>
              <w:spacing w:before="0" w:beforeLines="0" w:line="280" w:lineRule="exact"/>
              <w:ind w:firstLine="0" w:firstLineChars="0"/>
              <w:rPr>
                <w:rFonts w:ascii="宋体" w:hAnsi="宋体"/>
                <w:sz w:val="21"/>
                <w:szCs w:val="21"/>
              </w:rPr>
            </w:pPr>
            <w:r>
              <w:rPr>
                <w:rFonts w:ascii="宋体" w:hAnsi="宋体"/>
                <w:sz w:val="21"/>
                <w:szCs w:val="21"/>
              </w:rPr>
              <w:t>储存于阴凉、通风的库房。远离火种、热源。炎热季节库温不得超过25</w:t>
            </w:r>
            <w:r>
              <w:rPr>
                <w:rFonts w:hint="eastAsia" w:ascii="宋体" w:hAnsi="宋体"/>
                <w:sz w:val="21"/>
                <w:szCs w:val="21"/>
              </w:rPr>
              <w:t>℃</w:t>
            </w:r>
            <w:r>
              <w:rPr>
                <w:rFonts w:ascii="宋体" w:hAnsi="宋体"/>
                <w:sz w:val="21"/>
                <w:szCs w:val="21"/>
              </w:rPr>
              <w:t>。应与氧化剂、食用化学品分开存放，切忌混储。采用防爆型照明、通风设施。禁止使用易产生火花的机械设备和工具。储区应备有泄漏应急处理设备和合适的收容材料。</w:t>
            </w:r>
          </w:p>
          <w:p>
            <w:pPr>
              <w:spacing w:before="0" w:beforeLines="0" w:line="280" w:lineRule="exact"/>
              <w:ind w:firstLine="0" w:firstLineChars="0"/>
              <w:rPr>
                <w:rFonts w:ascii="宋体" w:hAnsi="宋体"/>
                <w:sz w:val="21"/>
                <w:szCs w:val="21"/>
              </w:rPr>
            </w:pPr>
            <w:r>
              <w:rPr>
                <w:rFonts w:ascii="宋体" w:hAnsi="宋体"/>
                <w:sz w:val="21"/>
                <w:szCs w:val="21"/>
              </w:rPr>
              <w:t>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毒</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及</w:t>
            </w:r>
          </w:p>
          <w:p>
            <w:pPr>
              <w:spacing w:before="0" w:beforeLines="0" w:line="280" w:lineRule="exact"/>
              <w:ind w:firstLine="0" w:firstLineChars="0"/>
              <w:rPr>
                <w:rFonts w:ascii="宋体" w:hAnsi="宋体"/>
                <w:sz w:val="21"/>
                <w:szCs w:val="21"/>
              </w:rPr>
            </w:pPr>
            <w:r>
              <w:rPr>
                <w:rFonts w:ascii="宋体" w:hAnsi="宋体"/>
                <w:sz w:val="21"/>
                <w:szCs w:val="21"/>
              </w:rPr>
              <w:t>健</w:t>
            </w:r>
          </w:p>
          <w:p>
            <w:pPr>
              <w:spacing w:before="0" w:beforeLines="0" w:line="280" w:lineRule="exact"/>
              <w:ind w:firstLine="0" w:firstLineChars="0"/>
              <w:rPr>
                <w:rFonts w:ascii="宋体" w:hAnsi="宋体"/>
                <w:sz w:val="21"/>
                <w:szCs w:val="21"/>
              </w:rPr>
            </w:pPr>
            <w:r>
              <w:rPr>
                <w:rFonts w:ascii="宋体" w:hAnsi="宋体"/>
                <w:sz w:val="21"/>
                <w:szCs w:val="21"/>
              </w:rPr>
              <w:t>康</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害</w:t>
            </w:r>
          </w:p>
        </w:tc>
        <w:tc>
          <w:tcPr>
            <w:tcW w:w="114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接触限值</w:t>
            </w:r>
          </w:p>
        </w:tc>
        <w:tc>
          <w:tcPr>
            <w:tcW w:w="6847"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中国MAC：未制定标准；苏联MAC：300mg／m</w:t>
            </w:r>
            <w:r>
              <w:rPr>
                <w:rFonts w:ascii="宋体" w:hAnsi="宋体"/>
                <w:sz w:val="21"/>
                <w:szCs w:val="21"/>
                <w:vertAlign w:val="superscript"/>
              </w:rPr>
              <w:t>3</w:t>
            </w:r>
            <w:r>
              <w:rPr>
                <w:rFonts w:ascii="宋体" w:hAnsi="宋体"/>
                <w:sz w:val="21"/>
                <w:szCs w:val="21"/>
              </w:rPr>
              <w:t>[上限值]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4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侵入途径</w:t>
            </w:r>
          </w:p>
        </w:tc>
        <w:tc>
          <w:tcPr>
            <w:tcW w:w="3116"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吸入  食入  经皮吸收</w:t>
            </w:r>
          </w:p>
        </w:tc>
        <w:tc>
          <w:tcPr>
            <w:tcW w:w="910"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危害</w:t>
            </w:r>
          </w:p>
        </w:tc>
        <w:tc>
          <w:tcPr>
            <w:tcW w:w="2821" w:type="dxa"/>
            <w:gridSpan w:val="2"/>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48"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4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健康危害</w:t>
            </w:r>
          </w:p>
        </w:tc>
        <w:tc>
          <w:tcPr>
            <w:tcW w:w="6847"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急性中毒：吸入高浓度煤油蒸气，常先有兴奋，后转入抑制，表现为乏力、头痛、酩酊感、神志恍惚、肌肉震颤、共济运动失调，严重者出现定向力障碍、谵妄、意识模糊等。蒸气可引起眼及上呼吸道刺激症状，吸入液态煤油可引起吸入性肺炎，摄入引起口腔、咽喉和胃肠道刺激症状。慢性影响：神经衰弱征候群为主要表现，还有眼及呼吸道刺激症状，接触性皮炎、干燥等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4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防护措施</w:t>
            </w:r>
          </w:p>
        </w:tc>
        <w:tc>
          <w:tcPr>
            <w:tcW w:w="6847"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生产过程密闭，全面通风。高浓度接触时，佩带防毒面具。</w:t>
            </w:r>
          </w:p>
          <w:p>
            <w:pPr>
              <w:spacing w:before="0" w:beforeLines="0" w:line="280" w:lineRule="exact"/>
              <w:ind w:firstLine="0" w:firstLineChars="0"/>
              <w:rPr>
                <w:rFonts w:ascii="宋体" w:hAnsi="宋体"/>
                <w:sz w:val="21"/>
                <w:szCs w:val="21"/>
              </w:rPr>
            </w:pPr>
            <w:r>
              <w:rPr>
                <w:rFonts w:ascii="宋体" w:hAnsi="宋体"/>
                <w:sz w:val="21"/>
                <w:szCs w:val="21"/>
              </w:rPr>
              <w:t>眼睛高浓度接触时，戴化学安全防护眼镜。穿工作服。必要时戴防护手套。工作现场严禁吸烟。避免长期反复接触。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9"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48"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z w:val="21"/>
                <w:szCs w:val="21"/>
              </w:rPr>
            </w:pPr>
            <w:r>
              <w:rPr>
                <w:rFonts w:ascii="宋体" w:hAnsi="宋体"/>
                <w:snapToGrid w:val="0"/>
                <w:kern w:val="0"/>
                <w:sz w:val="21"/>
                <w:szCs w:val="21"/>
              </w:rPr>
              <w:t>泄漏紧急处理</w:t>
            </w:r>
          </w:p>
        </w:tc>
        <w:tc>
          <w:tcPr>
            <w:tcW w:w="6847" w:type="dxa"/>
            <w:gridSpan w:val="6"/>
            <w:vAlign w:val="center"/>
          </w:tcPr>
          <w:p>
            <w:pPr>
              <w:autoSpaceDE w:val="0"/>
              <w:autoSpaceDN w:val="0"/>
              <w:adjustRightInd w:val="0"/>
              <w:snapToGrid w:val="0"/>
              <w:spacing w:before="0" w:beforeLines="0" w:line="280" w:lineRule="exact"/>
              <w:ind w:firstLine="0" w:firstLineChars="0"/>
              <w:textAlignment w:val="bottom"/>
              <w:rPr>
                <w:rFonts w:ascii="宋体" w:hAnsi="宋体"/>
                <w:sz w:val="21"/>
                <w:szCs w:val="21"/>
              </w:rPr>
            </w:pPr>
            <w:r>
              <w:rPr>
                <w:rFonts w:ascii="宋体" w:hAnsi="宋体"/>
                <w:snapToGrid w:val="0"/>
                <w:kern w:val="0"/>
                <w:sz w:val="21"/>
                <w:szCs w:val="21"/>
              </w:rPr>
              <w:t>迅速撤离泄漏污染区人员至上风，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bl>
    <w:p>
      <w:pPr>
        <w:pStyle w:val="32"/>
        <w:spacing w:before="0" w:beforeLines="0" w:line="280" w:lineRule="exact"/>
        <w:ind w:firstLine="0" w:firstLineChars="0"/>
        <w:rPr>
          <w:rFonts w:ascii="宋体" w:hAnsi="宋体"/>
          <w:sz w:val="21"/>
          <w:szCs w:val="21"/>
        </w:rPr>
      </w:pPr>
    </w:p>
    <w:p>
      <w:pPr>
        <w:pStyle w:val="33"/>
        <w:wordWrap/>
        <w:spacing w:before="156" w:line="280" w:lineRule="exact"/>
        <w:ind w:left="480" w:firstLine="480"/>
        <w:rPr>
          <w:rFonts w:ascii="宋体" w:hAnsi="宋体"/>
          <w:szCs w:val="21"/>
        </w:rPr>
      </w:pPr>
      <w:r>
        <w:rPr>
          <w:rFonts w:hint="eastAsia" w:ascii="宋体" w:hAnsi="宋体"/>
          <w:szCs w:val="21"/>
        </w:rPr>
        <w:t xml:space="preserve">                         柴油理化性质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58"/>
        <w:gridCol w:w="330"/>
        <w:gridCol w:w="1572"/>
        <w:gridCol w:w="1206"/>
        <w:gridCol w:w="909"/>
        <w:gridCol w:w="215"/>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理</w:t>
            </w:r>
          </w:p>
          <w:p>
            <w:pPr>
              <w:spacing w:before="0" w:beforeLines="0" w:line="280" w:lineRule="exact"/>
              <w:ind w:firstLine="0" w:firstLineChars="0"/>
              <w:rPr>
                <w:rFonts w:ascii="宋体" w:hAnsi="宋体"/>
                <w:sz w:val="21"/>
                <w:szCs w:val="21"/>
              </w:rPr>
            </w:pPr>
            <w:r>
              <w:rPr>
                <w:rFonts w:ascii="宋体" w:hAnsi="宋体"/>
                <w:sz w:val="21"/>
                <w:szCs w:val="21"/>
              </w:rPr>
              <w:t>化</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质</w:t>
            </w: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外观与性状</w:t>
            </w:r>
          </w:p>
        </w:tc>
        <w:tc>
          <w:tcPr>
            <w:tcW w:w="6507" w:type="dxa"/>
            <w:gridSpan w:val="5"/>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稍有粘性棕色液体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成分</w:t>
            </w:r>
          </w:p>
        </w:tc>
        <w:tc>
          <w:tcPr>
            <w:tcW w:w="6507" w:type="dxa"/>
            <w:gridSpan w:val="5"/>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燃烧热（KJ/mol）</w:t>
            </w:r>
          </w:p>
        </w:tc>
        <w:tc>
          <w:tcPr>
            <w:tcW w:w="1572" w:type="dxa"/>
            <w:vMerge w:val="restart"/>
            <w:vAlign w:val="center"/>
          </w:tcPr>
          <w:p>
            <w:pPr>
              <w:spacing w:before="0" w:beforeLines="0" w:line="280" w:lineRule="exact"/>
              <w:ind w:firstLine="0" w:firstLineChars="0"/>
              <w:rPr>
                <w:rFonts w:ascii="宋体" w:hAnsi="宋体"/>
                <w:sz w:val="21"/>
                <w:szCs w:val="21"/>
              </w:rPr>
            </w:pP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相对密度（水=1）</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0.</w:t>
            </w:r>
            <w:r>
              <w:rPr>
                <w:rFonts w:hint="eastAsia" w:ascii="宋体" w:hAnsi="宋体"/>
                <w:sz w:val="21"/>
                <w:szCs w:val="21"/>
              </w:rPr>
              <w:t>8</w:t>
            </w:r>
            <w:r>
              <w:rPr>
                <w:rFonts w:ascii="宋体" w:hAnsi="宋体"/>
                <w:sz w:val="21"/>
                <w:szCs w:val="21"/>
              </w:rPr>
              <w:t>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Merge w:val="continue"/>
            <w:vAlign w:val="center"/>
          </w:tcPr>
          <w:p>
            <w:pPr>
              <w:spacing w:before="0" w:beforeLines="0" w:line="280" w:lineRule="exact"/>
              <w:ind w:firstLine="0" w:firstLineChars="0"/>
              <w:rPr>
                <w:rFonts w:ascii="宋体" w:hAnsi="宋体"/>
                <w:sz w:val="21"/>
                <w:szCs w:val="21"/>
              </w:rPr>
            </w:pPr>
          </w:p>
        </w:tc>
        <w:tc>
          <w:tcPr>
            <w:tcW w:w="1572" w:type="dxa"/>
            <w:vMerge w:val="continue"/>
            <w:vAlign w:val="center"/>
          </w:tcPr>
          <w:p>
            <w:pPr>
              <w:spacing w:before="0" w:beforeLines="0" w:line="280" w:lineRule="exact"/>
              <w:ind w:firstLine="0" w:firstLineChars="0"/>
              <w:rPr>
                <w:rFonts w:ascii="宋体" w:hAnsi="宋体"/>
                <w:sz w:val="21"/>
                <w:szCs w:val="21"/>
              </w:rPr>
            </w:pP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相对密度（空气=1）</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燃</w:t>
            </w:r>
          </w:p>
          <w:p>
            <w:pPr>
              <w:spacing w:before="0" w:beforeLines="0" w:line="280" w:lineRule="exact"/>
              <w:ind w:firstLine="0" w:firstLineChars="0"/>
              <w:rPr>
                <w:rFonts w:ascii="宋体" w:hAnsi="宋体"/>
                <w:sz w:val="21"/>
                <w:szCs w:val="21"/>
              </w:rPr>
            </w:pPr>
            <w:r>
              <w:rPr>
                <w:rFonts w:ascii="宋体" w:hAnsi="宋体"/>
                <w:sz w:val="21"/>
                <w:szCs w:val="21"/>
              </w:rPr>
              <w:t>烧</w:t>
            </w:r>
          </w:p>
          <w:p>
            <w:pPr>
              <w:spacing w:before="0" w:beforeLines="0" w:line="280" w:lineRule="exact"/>
              <w:ind w:firstLine="0" w:firstLineChars="0"/>
              <w:rPr>
                <w:rFonts w:ascii="宋体" w:hAnsi="宋体"/>
                <w:sz w:val="21"/>
                <w:szCs w:val="21"/>
              </w:rPr>
            </w:pPr>
            <w:r>
              <w:rPr>
                <w:rFonts w:ascii="宋体" w:hAnsi="宋体"/>
                <w:sz w:val="21"/>
                <w:szCs w:val="21"/>
              </w:rPr>
              <w:t>爆</w:t>
            </w:r>
          </w:p>
          <w:p>
            <w:pPr>
              <w:spacing w:before="0" w:beforeLines="0" w:line="280" w:lineRule="exact"/>
              <w:ind w:firstLine="0" w:firstLineChars="0"/>
              <w:rPr>
                <w:rFonts w:ascii="宋体" w:hAnsi="宋体"/>
                <w:sz w:val="21"/>
                <w:szCs w:val="21"/>
              </w:rPr>
            </w:pPr>
            <w:r>
              <w:rPr>
                <w:rFonts w:ascii="宋体" w:hAnsi="宋体"/>
                <w:sz w:val="21"/>
                <w:szCs w:val="21"/>
              </w:rPr>
              <w:t>炸</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险</w:t>
            </w:r>
          </w:p>
          <w:p>
            <w:pPr>
              <w:spacing w:before="0" w:beforeLines="0" w:line="280" w:lineRule="exact"/>
              <w:ind w:firstLine="0" w:firstLineChars="0"/>
              <w:rPr>
                <w:rFonts w:ascii="宋体" w:hAnsi="宋体"/>
                <w:sz w:val="21"/>
                <w:szCs w:val="21"/>
              </w:rPr>
            </w:pPr>
            <w:r>
              <w:rPr>
                <w:rFonts w:ascii="宋体" w:hAnsi="宋体"/>
                <w:sz w:val="21"/>
                <w:szCs w:val="21"/>
              </w:rPr>
              <w:t>性</w:t>
            </w: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燃烧性</w:t>
            </w:r>
          </w:p>
        </w:tc>
        <w:tc>
          <w:tcPr>
            <w:tcW w:w="157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易燃</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火灾危险类别</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闪点（</w:t>
            </w:r>
            <w:r>
              <w:rPr>
                <w:rFonts w:hint="eastAsia" w:ascii="宋体" w:hAnsi="宋体"/>
                <w:sz w:val="21"/>
                <w:szCs w:val="21"/>
              </w:rPr>
              <w:t>℃</w:t>
            </w:r>
            <w:r>
              <w:rPr>
                <w:rFonts w:ascii="宋体" w:hAnsi="宋体"/>
                <w:sz w:val="21"/>
                <w:szCs w:val="21"/>
              </w:rPr>
              <w:t>）</w:t>
            </w:r>
          </w:p>
        </w:tc>
        <w:tc>
          <w:tcPr>
            <w:tcW w:w="1572"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38</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爆炸极限%</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引燃温度（</w:t>
            </w:r>
            <w:r>
              <w:rPr>
                <w:rFonts w:hint="eastAsia" w:ascii="宋体" w:hAnsi="宋体"/>
                <w:sz w:val="21"/>
                <w:szCs w:val="21"/>
              </w:rPr>
              <w:t>℃</w:t>
            </w:r>
            <w:r>
              <w:rPr>
                <w:rFonts w:ascii="宋体" w:hAnsi="宋体"/>
                <w:sz w:val="21"/>
                <w:szCs w:val="21"/>
              </w:rPr>
              <w:t>）</w:t>
            </w:r>
          </w:p>
        </w:tc>
        <w:tc>
          <w:tcPr>
            <w:tcW w:w="1572"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257</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爆炸危险组别</w:t>
            </w:r>
          </w:p>
        </w:tc>
        <w:tc>
          <w:tcPr>
            <w:tcW w:w="2605" w:type="dxa"/>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稳定性</w:t>
            </w:r>
          </w:p>
        </w:tc>
        <w:tc>
          <w:tcPr>
            <w:tcW w:w="1572" w:type="dxa"/>
            <w:vAlign w:val="center"/>
          </w:tcPr>
          <w:p>
            <w:pPr>
              <w:spacing w:before="0" w:beforeLines="0" w:line="280" w:lineRule="exact"/>
              <w:ind w:firstLine="0" w:firstLineChars="0"/>
              <w:rPr>
                <w:rFonts w:ascii="宋体" w:hAnsi="宋体"/>
                <w:sz w:val="21"/>
                <w:szCs w:val="21"/>
              </w:rPr>
            </w:pPr>
            <w:r>
              <w:rPr>
                <w:rFonts w:ascii="宋体" w:hAnsi="宋体"/>
                <w:sz w:val="21"/>
                <w:szCs w:val="21"/>
              </w:rPr>
              <w:t>稳定</w:t>
            </w:r>
          </w:p>
        </w:tc>
        <w:tc>
          <w:tcPr>
            <w:tcW w:w="2330"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燃烧分解产物</w:t>
            </w:r>
          </w:p>
        </w:tc>
        <w:tc>
          <w:tcPr>
            <w:tcW w:w="2605"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危险特性</w:t>
            </w:r>
          </w:p>
        </w:tc>
        <w:tc>
          <w:tcPr>
            <w:tcW w:w="6507"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遇明火、高热</w:t>
            </w:r>
            <w:r>
              <w:rPr>
                <w:rFonts w:hint="eastAsia" w:ascii="宋体" w:hAnsi="宋体"/>
                <w:sz w:val="21"/>
                <w:szCs w:val="21"/>
              </w:rPr>
              <w:t>或氧化剂接触，有引起</w:t>
            </w:r>
            <w:r>
              <w:rPr>
                <w:rFonts w:ascii="宋体" w:hAnsi="宋体"/>
                <w:sz w:val="21"/>
                <w:szCs w:val="21"/>
              </w:rPr>
              <w:t>燃烧爆炸</w:t>
            </w:r>
            <w:r>
              <w:rPr>
                <w:rFonts w:hint="eastAsia" w:ascii="宋体" w:hAnsi="宋体"/>
                <w:sz w:val="21"/>
                <w:szCs w:val="21"/>
              </w:rPr>
              <w:t>的危险</w:t>
            </w:r>
            <w:r>
              <w:rPr>
                <w:rFonts w:ascii="宋体" w:hAnsi="宋体"/>
                <w:sz w:val="21"/>
                <w:szCs w:val="21"/>
              </w:rPr>
              <w:t>。</w:t>
            </w:r>
            <w:r>
              <w:rPr>
                <w:rFonts w:hint="eastAsia" w:ascii="宋体" w:hAnsi="宋体"/>
                <w:sz w:val="21"/>
                <w:szCs w:val="21"/>
              </w:rPr>
              <w:t>若遇高热，容器内压增大，有开裂和爆炸危险</w:t>
            </w:r>
            <w:r>
              <w:rPr>
                <w:rFonts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危险性类别</w:t>
            </w:r>
          </w:p>
        </w:tc>
        <w:tc>
          <w:tcPr>
            <w:tcW w:w="6507" w:type="dxa"/>
            <w:gridSpan w:val="5"/>
            <w:vAlign w:val="center"/>
          </w:tcPr>
          <w:p>
            <w:pPr>
              <w:spacing w:before="0" w:beforeLines="0" w:line="280" w:lineRule="exact"/>
              <w:ind w:firstLine="0" w:firstLineChars="0"/>
              <w:rPr>
                <w:rFonts w:ascii="宋体" w:hAnsi="宋体"/>
                <w:sz w:val="21"/>
                <w:szCs w:val="21"/>
              </w:rPr>
            </w:pPr>
            <w:r>
              <w:rPr>
                <w:rFonts w:ascii="宋体" w:hAnsi="宋体"/>
                <w:sz w:val="21"/>
                <w:szCs w:val="21"/>
              </w:rPr>
              <w:t>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488" w:type="dxa"/>
            <w:gridSpan w:val="2"/>
            <w:vAlign w:val="center"/>
          </w:tcPr>
          <w:p>
            <w:pPr>
              <w:spacing w:before="0" w:beforeLines="0" w:line="280" w:lineRule="exact"/>
              <w:ind w:firstLine="0" w:firstLineChars="0"/>
              <w:rPr>
                <w:rFonts w:ascii="宋体" w:hAnsi="宋体"/>
                <w:sz w:val="21"/>
                <w:szCs w:val="21"/>
              </w:rPr>
            </w:pPr>
            <w:r>
              <w:rPr>
                <w:rFonts w:ascii="宋体" w:hAnsi="宋体"/>
                <w:sz w:val="21"/>
                <w:szCs w:val="21"/>
              </w:rPr>
              <w:t>灭火方法</w:t>
            </w:r>
          </w:p>
        </w:tc>
        <w:tc>
          <w:tcPr>
            <w:tcW w:w="6507" w:type="dxa"/>
            <w:gridSpan w:val="5"/>
            <w:vAlign w:val="center"/>
          </w:tcPr>
          <w:p>
            <w:pPr>
              <w:spacing w:before="0" w:beforeLines="0" w:line="280" w:lineRule="exact"/>
              <w:ind w:firstLine="0" w:firstLineChars="0"/>
              <w:rPr>
                <w:rFonts w:ascii="宋体" w:hAnsi="宋体"/>
                <w:sz w:val="21"/>
                <w:szCs w:val="21"/>
              </w:rPr>
            </w:pPr>
            <w:r>
              <w:rPr>
                <w:rFonts w:ascii="宋体" w:hAnsi="宋体"/>
                <w:kern w:val="0"/>
                <w:sz w:val="21"/>
                <w:szCs w:val="21"/>
              </w:rPr>
              <w:t>消防人员必须</w:t>
            </w:r>
            <w:r>
              <w:rPr>
                <w:rFonts w:hint="eastAsia" w:ascii="宋体" w:hAnsi="宋体"/>
                <w:kern w:val="0"/>
                <w:sz w:val="21"/>
                <w:szCs w:val="21"/>
              </w:rPr>
              <w:t>佩戴防毒面具，穿全身防护服，在上风向灭火</w:t>
            </w:r>
            <w:r>
              <w:rPr>
                <w:rFonts w:ascii="宋体" w:hAnsi="宋体"/>
                <w:kern w:val="0"/>
                <w:sz w:val="21"/>
                <w:szCs w:val="21"/>
              </w:rPr>
              <w:t>。</w:t>
            </w:r>
            <w:r>
              <w:rPr>
                <w:rFonts w:hint="eastAsia" w:ascii="宋体" w:hAnsi="宋体"/>
                <w:kern w:val="0"/>
                <w:sz w:val="21"/>
                <w:szCs w:val="21"/>
              </w:rPr>
              <w:t>尽</w:t>
            </w:r>
            <w:r>
              <w:rPr>
                <w:rFonts w:ascii="宋体" w:hAnsi="宋体"/>
                <w:sz w:val="21"/>
                <w:szCs w:val="21"/>
              </w:rPr>
              <w:t>可能将容器从火场移至空旷处。喷水</w:t>
            </w:r>
            <w:r>
              <w:rPr>
                <w:rFonts w:hint="eastAsia" w:ascii="宋体" w:hAnsi="宋体"/>
                <w:sz w:val="21"/>
                <w:szCs w:val="21"/>
              </w:rPr>
              <w:t>保持</w:t>
            </w:r>
            <w:r>
              <w:rPr>
                <w:rFonts w:ascii="宋体" w:hAnsi="宋体"/>
                <w:sz w:val="21"/>
                <w:szCs w:val="21"/>
              </w:rPr>
              <w:t>容器冷却，</w:t>
            </w:r>
            <w:r>
              <w:rPr>
                <w:rFonts w:hint="eastAsia" w:ascii="宋体" w:hAnsi="宋体"/>
                <w:sz w:val="21"/>
                <w:szCs w:val="21"/>
              </w:rPr>
              <w:t>直至灭火结束，处在火场中容器已经变色或安全泄压装置中产生声音，必须马上撤离，</w:t>
            </w:r>
            <w:r>
              <w:rPr>
                <w:rFonts w:ascii="宋体" w:hAnsi="宋体"/>
                <w:sz w:val="21"/>
                <w:szCs w:val="21"/>
              </w:rPr>
              <w:t>灭火剂：</w:t>
            </w:r>
            <w:r>
              <w:rPr>
                <w:rFonts w:hint="eastAsia" w:ascii="宋体" w:hAnsi="宋体"/>
                <w:sz w:val="21"/>
                <w:szCs w:val="21"/>
              </w:rPr>
              <w:t>雾状水、泡沫、</w:t>
            </w:r>
            <w:r>
              <w:rPr>
                <w:rFonts w:ascii="宋体" w:hAnsi="宋体"/>
                <w:sz w:val="21"/>
                <w:szCs w:val="21"/>
              </w:rPr>
              <w:t>二氧化碳、干粉、</w:t>
            </w:r>
            <w:r>
              <w:rPr>
                <w:rFonts w:hint="eastAsia" w:ascii="宋体" w:hAnsi="宋体"/>
                <w:sz w:val="21"/>
                <w:szCs w:val="21"/>
              </w:rPr>
              <w:t>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包装储存运输要求</w:t>
            </w:r>
          </w:p>
        </w:tc>
        <w:tc>
          <w:tcPr>
            <w:tcW w:w="7995" w:type="dxa"/>
            <w:gridSpan w:val="7"/>
            <w:vAlign w:val="center"/>
          </w:tcPr>
          <w:p>
            <w:pPr>
              <w:spacing w:before="0" w:beforeLines="0" w:line="280" w:lineRule="exact"/>
              <w:ind w:firstLine="0" w:firstLineChars="0"/>
              <w:rPr>
                <w:rFonts w:ascii="宋体" w:hAnsi="宋体"/>
                <w:sz w:val="21"/>
                <w:szCs w:val="21"/>
              </w:rPr>
            </w:pPr>
            <w:r>
              <w:rPr>
                <w:rFonts w:ascii="宋体" w:hAnsi="宋体"/>
                <w:sz w:val="21"/>
                <w:szCs w:val="21"/>
              </w:rPr>
              <w:t>包装分类：</w:t>
            </w:r>
            <w:r>
              <w:rPr>
                <w:rFonts w:hint="eastAsia" w:ascii="宋体" w:hAnsi="宋体"/>
                <w:sz w:val="21"/>
                <w:szCs w:val="21"/>
              </w:rPr>
              <w:t>包装类别：Z01。</w:t>
            </w:r>
          </w:p>
          <w:p>
            <w:pPr>
              <w:spacing w:before="0" w:beforeLines="0" w:line="280" w:lineRule="exact"/>
              <w:ind w:firstLine="0" w:firstLineChars="0"/>
              <w:rPr>
                <w:rFonts w:ascii="宋体" w:hAnsi="宋体"/>
                <w:sz w:val="21"/>
                <w:szCs w:val="21"/>
              </w:rPr>
            </w:pPr>
            <w:r>
              <w:rPr>
                <w:rFonts w:ascii="宋体" w:hAnsi="宋体"/>
                <w:sz w:val="21"/>
                <w:szCs w:val="21"/>
              </w:rPr>
              <w:t>储运注意事项：储存于阴凉、通风</w:t>
            </w:r>
            <w:r>
              <w:rPr>
                <w:rFonts w:hint="eastAsia" w:ascii="宋体" w:hAnsi="宋体"/>
                <w:sz w:val="21"/>
                <w:szCs w:val="21"/>
              </w:rPr>
              <w:t>的仓库</w:t>
            </w:r>
            <w:r>
              <w:rPr>
                <w:rFonts w:ascii="宋体" w:hAnsi="宋体"/>
                <w:sz w:val="21"/>
                <w:szCs w:val="21"/>
              </w:rPr>
              <w:t>。远离火种、热源。</w:t>
            </w:r>
            <w:r>
              <w:rPr>
                <w:rFonts w:hint="eastAsia" w:ascii="宋体" w:hAnsi="宋体"/>
                <w:sz w:val="21"/>
                <w:szCs w:val="21"/>
              </w:rPr>
              <w:t>应与氧化剂、卤素分开存放，切忌混储。采用</w:t>
            </w:r>
            <w:r>
              <w:rPr>
                <w:rFonts w:ascii="宋体" w:hAnsi="宋体"/>
                <w:sz w:val="21"/>
                <w:szCs w:val="21"/>
              </w:rPr>
              <w:t>防爆型</w:t>
            </w:r>
            <w:r>
              <w:rPr>
                <w:rFonts w:hint="eastAsia" w:ascii="宋体" w:hAnsi="宋体"/>
                <w:sz w:val="21"/>
                <w:szCs w:val="21"/>
              </w:rPr>
              <w:t>照明、通风设施。</w:t>
            </w:r>
            <w:r>
              <w:rPr>
                <w:rFonts w:ascii="宋体" w:hAnsi="宋体"/>
                <w:sz w:val="21"/>
                <w:szCs w:val="21"/>
              </w:rPr>
              <w:t>禁止使用易产生火花的机械设备和工具。</w:t>
            </w:r>
            <w:r>
              <w:rPr>
                <w:rFonts w:hint="eastAsia" w:ascii="宋体" w:hAnsi="宋体"/>
                <w:sz w:val="21"/>
                <w:szCs w:val="21"/>
              </w:rPr>
              <w:t>储区应备有泄漏应急处理设备和合适的收容材料。</w:t>
            </w:r>
          </w:p>
          <w:p>
            <w:pPr>
              <w:spacing w:before="0" w:beforeLines="0" w:line="280" w:lineRule="exact"/>
              <w:ind w:firstLine="0" w:firstLineChars="0"/>
              <w:rPr>
                <w:rFonts w:ascii="宋体" w:hAnsi="宋体"/>
                <w:sz w:val="21"/>
                <w:szCs w:val="21"/>
              </w:rPr>
            </w:pPr>
            <w:r>
              <w:rPr>
                <w:rFonts w:ascii="宋体" w:hAnsi="宋体"/>
                <w:sz w:val="21"/>
                <w:szCs w:val="21"/>
              </w:rPr>
              <w:t>运输注意事项：</w:t>
            </w:r>
            <w:r>
              <w:rPr>
                <w:rFonts w:hint="eastAsia" w:ascii="宋体" w:hAnsi="宋体"/>
                <w:sz w:val="21"/>
                <w:szCs w:val="21"/>
              </w:rPr>
              <w:t>运输前应检查包装容器是否完整、密闭，运输过程中要确保容器不泄漏、不倒塌、不坠落、不损坏。</w:t>
            </w:r>
            <w:r>
              <w:rPr>
                <w:rFonts w:ascii="宋体" w:hAnsi="宋体"/>
                <w:sz w:val="21"/>
                <w:szCs w:val="21"/>
              </w:rPr>
              <w:t>运输时运输车辆应配备相应品种和数量的消防器材及泄漏应急处理设备。夏季最好早晚运输。运输时所用的槽（罐）车应有接地链，槽内可设孔隔板以减少震荡产生静电。严禁与氧化剂</w:t>
            </w:r>
            <w:r>
              <w:rPr>
                <w:rFonts w:hint="eastAsia" w:ascii="宋体" w:hAnsi="宋体"/>
                <w:sz w:val="21"/>
                <w:szCs w:val="21"/>
              </w:rPr>
              <w:t>、卤素、食用化学品等</w:t>
            </w:r>
            <w:r>
              <w:rPr>
                <w:rFonts w:ascii="宋体" w:hAnsi="宋体"/>
                <w:sz w:val="21"/>
                <w:szCs w:val="21"/>
              </w:rPr>
              <w:t>混装混运。运输途中应防曝晒、雨淋，防高温。中途停留时应远离火种、热源、高温区。装运该物品的车辆排气管必须配备阻火装置，禁止使用易产生火花的机械设备和工具装卸。</w:t>
            </w:r>
            <w:r>
              <w:rPr>
                <w:rFonts w:hint="eastAsia" w:ascii="宋体" w:hAnsi="宋体"/>
                <w:sz w:val="21"/>
                <w:szCs w:val="21"/>
              </w:rPr>
              <w:t>运输车船必须彻底清洗、消毒，否则不得装运其他物品，船运时，配装位置应远离卧室、厨房。并与机舱、电源、火源等部位隔离，公路运输时要按规定路线行驶。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restart"/>
            <w:vAlign w:val="center"/>
          </w:tcPr>
          <w:p>
            <w:pPr>
              <w:spacing w:before="0" w:beforeLines="0" w:line="280" w:lineRule="exact"/>
              <w:ind w:firstLine="0" w:firstLineChars="0"/>
              <w:rPr>
                <w:rFonts w:ascii="宋体" w:hAnsi="宋体"/>
                <w:sz w:val="21"/>
                <w:szCs w:val="21"/>
              </w:rPr>
            </w:pPr>
            <w:r>
              <w:rPr>
                <w:rFonts w:ascii="宋体" w:hAnsi="宋体"/>
                <w:sz w:val="21"/>
                <w:szCs w:val="21"/>
              </w:rPr>
              <w:t>毒</w:t>
            </w:r>
          </w:p>
          <w:p>
            <w:pPr>
              <w:spacing w:before="0" w:beforeLines="0" w:line="280" w:lineRule="exact"/>
              <w:ind w:firstLine="0" w:firstLineChars="0"/>
              <w:rPr>
                <w:rFonts w:ascii="宋体" w:hAnsi="宋体"/>
                <w:sz w:val="21"/>
                <w:szCs w:val="21"/>
              </w:rPr>
            </w:pPr>
            <w:r>
              <w:rPr>
                <w:rFonts w:ascii="宋体" w:hAnsi="宋体"/>
                <w:sz w:val="21"/>
                <w:szCs w:val="21"/>
              </w:rPr>
              <w:t>性</w:t>
            </w:r>
          </w:p>
          <w:p>
            <w:pPr>
              <w:spacing w:before="0" w:beforeLines="0" w:line="280" w:lineRule="exact"/>
              <w:ind w:firstLine="0" w:firstLineChars="0"/>
              <w:rPr>
                <w:rFonts w:ascii="宋体" w:hAnsi="宋体"/>
                <w:sz w:val="21"/>
                <w:szCs w:val="21"/>
              </w:rPr>
            </w:pPr>
            <w:r>
              <w:rPr>
                <w:rFonts w:ascii="宋体" w:hAnsi="宋体"/>
                <w:sz w:val="21"/>
                <w:szCs w:val="21"/>
              </w:rPr>
              <w:t>及</w:t>
            </w:r>
          </w:p>
          <w:p>
            <w:pPr>
              <w:spacing w:before="0" w:beforeLines="0" w:line="280" w:lineRule="exact"/>
              <w:ind w:firstLine="0" w:firstLineChars="0"/>
              <w:rPr>
                <w:rFonts w:ascii="宋体" w:hAnsi="宋体"/>
                <w:sz w:val="21"/>
                <w:szCs w:val="21"/>
              </w:rPr>
            </w:pPr>
            <w:r>
              <w:rPr>
                <w:rFonts w:ascii="宋体" w:hAnsi="宋体"/>
                <w:sz w:val="21"/>
                <w:szCs w:val="21"/>
              </w:rPr>
              <w:t>健</w:t>
            </w:r>
          </w:p>
          <w:p>
            <w:pPr>
              <w:spacing w:before="0" w:beforeLines="0" w:line="280" w:lineRule="exact"/>
              <w:ind w:firstLine="0" w:firstLineChars="0"/>
              <w:rPr>
                <w:rFonts w:ascii="宋体" w:hAnsi="宋体"/>
                <w:sz w:val="21"/>
                <w:szCs w:val="21"/>
              </w:rPr>
            </w:pPr>
            <w:r>
              <w:rPr>
                <w:rFonts w:ascii="宋体" w:hAnsi="宋体"/>
                <w:sz w:val="21"/>
                <w:szCs w:val="21"/>
              </w:rPr>
              <w:t>康</w:t>
            </w:r>
          </w:p>
          <w:p>
            <w:pPr>
              <w:spacing w:before="0" w:beforeLines="0" w:line="280" w:lineRule="exact"/>
              <w:ind w:firstLine="0" w:firstLineChars="0"/>
              <w:rPr>
                <w:rFonts w:ascii="宋体" w:hAnsi="宋体"/>
                <w:sz w:val="21"/>
                <w:szCs w:val="21"/>
              </w:rPr>
            </w:pPr>
            <w:r>
              <w:rPr>
                <w:rFonts w:ascii="宋体" w:hAnsi="宋体"/>
                <w:sz w:val="21"/>
                <w:szCs w:val="21"/>
              </w:rPr>
              <w:t>危</w:t>
            </w:r>
          </w:p>
          <w:p>
            <w:pPr>
              <w:spacing w:before="0" w:beforeLines="0" w:line="280" w:lineRule="exact"/>
              <w:ind w:firstLine="0" w:firstLineChars="0"/>
              <w:rPr>
                <w:rFonts w:ascii="宋体" w:hAnsi="宋体"/>
                <w:sz w:val="21"/>
                <w:szCs w:val="21"/>
              </w:rPr>
            </w:pPr>
            <w:r>
              <w:rPr>
                <w:rFonts w:ascii="宋体" w:hAnsi="宋体"/>
                <w:sz w:val="21"/>
                <w:szCs w:val="21"/>
              </w:rPr>
              <w:t>害</w:t>
            </w:r>
          </w:p>
        </w:tc>
        <w:tc>
          <w:tcPr>
            <w:tcW w:w="115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接触限值</w:t>
            </w:r>
          </w:p>
        </w:tc>
        <w:tc>
          <w:tcPr>
            <w:tcW w:w="6837"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中国 MAC （mg/m</w:t>
            </w:r>
            <w:r>
              <w:rPr>
                <w:rFonts w:ascii="宋体" w:hAnsi="宋体"/>
                <w:sz w:val="21"/>
                <w:szCs w:val="21"/>
                <w:vertAlign w:val="superscript"/>
              </w:rPr>
              <w:t>3</w:t>
            </w:r>
            <w:r>
              <w:rPr>
                <w:rFonts w:ascii="宋体"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5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侵入途径</w:t>
            </w:r>
          </w:p>
        </w:tc>
        <w:tc>
          <w:tcPr>
            <w:tcW w:w="3108" w:type="dxa"/>
            <w:gridSpan w:val="3"/>
            <w:vAlign w:val="center"/>
          </w:tcPr>
          <w:p>
            <w:pPr>
              <w:spacing w:before="0" w:beforeLines="0" w:line="280" w:lineRule="exact"/>
              <w:ind w:firstLine="0" w:firstLineChars="0"/>
              <w:rPr>
                <w:rFonts w:ascii="宋体" w:hAnsi="宋体"/>
                <w:sz w:val="21"/>
                <w:szCs w:val="21"/>
              </w:rPr>
            </w:pPr>
            <w:r>
              <w:rPr>
                <w:rFonts w:ascii="宋体" w:hAnsi="宋体"/>
                <w:sz w:val="21"/>
                <w:szCs w:val="21"/>
              </w:rPr>
              <w:t>吸入、食入、经皮吸收</w:t>
            </w:r>
          </w:p>
        </w:tc>
        <w:tc>
          <w:tcPr>
            <w:tcW w:w="909"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危害</w:t>
            </w:r>
          </w:p>
        </w:tc>
        <w:tc>
          <w:tcPr>
            <w:tcW w:w="2820" w:type="dxa"/>
            <w:gridSpan w:val="2"/>
            <w:vAlign w:val="center"/>
          </w:tcPr>
          <w:p>
            <w:pPr>
              <w:spacing w:before="0" w:beforeLines="0" w:line="280" w:lineRule="exact"/>
              <w:ind w:firstLine="0" w:firstLineChars="0"/>
              <w:rPr>
                <w:rFonts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5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健康危害</w:t>
            </w:r>
          </w:p>
        </w:tc>
        <w:tc>
          <w:tcPr>
            <w:tcW w:w="6837" w:type="dxa"/>
            <w:gridSpan w:val="6"/>
            <w:vAlign w:val="center"/>
          </w:tcPr>
          <w:p>
            <w:pPr>
              <w:spacing w:before="0" w:beforeLines="0" w:line="280" w:lineRule="exact"/>
              <w:ind w:firstLine="0" w:firstLineChars="0"/>
              <w:rPr>
                <w:rFonts w:ascii="宋体" w:hAnsi="宋体"/>
                <w:sz w:val="21"/>
                <w:szCs w:val="21"/>
              </w:rPr>
            </w:pPr>
            <w:r>
              <w:rPr>
                <w:rFonts w:hint="eastAsia" w:ascii="宋体" w:hAnsi="宋体"/>
                <w:sz w:val="21"/>
                <w:szCs w:val="21"/>
              </w:rPr>
              <w:t>皮肤接触可为主要途径，可致急性肾脏损害。柴油可引起接触性皮炎、油性痤疮。吸入气雾滴或液体呛入可引起肺炎，能经胎盘静茹胎儿血中，柴油废气可引起眼、鼻刺激性症状，头晕及头痛。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58" w:type="dxa"/>
            <w:vAlign w:val="center"/>
          </w:tcPr>
          <w:p>
            <w:pPr>
              <w:spacing w:before="0" w:beforeLines="0" w:line="280" w:lineRule="exact"/>
              <w:ind w:firstLine="0" w:firstLineChars="0"/>
              <w:rPr>
                <w:rFonts w:ascii="宋体" w:hAnsi="宋体"/>
                <w:sz w:val="21"/>
                <w:szCs w:val="21"/>
              </w:rPr>
            </w:pPr>
            <w:r>
              <w:rPr>
                <w:rFonts w:ascii="宋体" w:hAnsi="宋体"/>
                <w:sz w:val="21"/>
                <w:szCs w:val="21"/>
              </w:rPr>
              <w:t>防护措施</w:t>
            </w:r>
          </w:p>
        </w:tc>
        <w:tc>
          <w:tcPr>
            <w:tcW w:w="6837" w:type="dxa"/>
            <w:gridSpan w:val="6"/>
            <w:vAlign w:val="center"/>
          </w:tcPr>
          <w:p>
            <w:pPr>
              <w:spacing w:before="0" w:beforeLines="0" w:line="280" w:lineRule="exact"/>
              <w:ind w:firstLine="0" w:firstLineChars="0"/>
              <w:rPr>
                <w:rFonts w:ascii="宋体" w:hAnsi="宋体"/>
                <w:sz w:val="21"/>
                <w:szCs w:val="21"/>
              </w:rPr>
            </w:pPr>
            <w:r>
              <w:rPr>
                <w:rFonts w:ascii="宋体" w:hAnsi="宋体"/>
                <w:sz w:val="21"/>
                <w:szCs w:val="21"/>
              </w:rPr>
              <w:t>生产过程密封，</w:t>
            </w:r>
            <w:r>
              <w:rPr>
                <w:rFonts w:hint="eastAsia" w:ascii="宋体" w:hAnsi="宋体"/>
                <w:sz w:val="21"/>
                <w:szCs w:val="21"/>
              </w:rPr>
              <w:t>注意</w:t>
            </w:r>
            <w:r>
              <w:rPr>
                <w:rFonts w:ascii="宋体" w:hAnsi="宋体"/>
                <w:sz w:val="21"/>
                <w:szCs w:val="21"/>
              </w:rPr>
              <w:t>通风。</w:t>
            </w:r>
            <w:r>
              <w:rPr>
                <w:rFonts w:hint="eastAsia" w:ascii="宋体" w:hAnsi="宋体"/>
                <w:sz w:val="21"/>
                <w:szCs w:val="21"/>
              </w:rPr>
              <w:t>操作人员必须经专门培训，严格遵守操作规程。建议操作人员佩戴</w:t>
            </w:r>
            <w:r>
              <w:rPr>
                <w:rFonts w:ascii="宋体" w:hAnsi="宋体"/>
                <w:sz w:val="21"/>
                <w:szCs w:val="21"/>
              </w:rPr>
              <w:t>自吸过滤式防毒面具（半面罩）和化学安全防护眼镜。</w:t>
            </w:r>
            <w:r>
              <w:rPr>
                <w:rFonts w:hint="eastAsia" w:ascii="宋体" w:hAnsi="宋体"/>
                <w:sz w:val="21"/>
                <w:szCs w:val="21"/>
              </w:rPr>
              <w:t>戴橡胶耐油手套，远离火种、热源，工作场所严禁吸烟。使用防爆型通风系统和设备。防治蒸汽泄漏到工作场所空气中。避免与氧化剂、卤素接触，充装要控制流速，防止静电集聚。搬运时要轻装轻卸，防止包装及容器损坏，</w:t>
            </w:r>
            <w:r>
              <w:rPr>
                <w:rFonts w:ascii="宋体" w:hAnsi="宋体"/>
                <w:sz w:val="21"/>
                <w:szCs w:val="21"/>
              </w:rPr>
              <w:t>应配备相应品种和数量的消防器材及泄漏应急处理设备。</w:t>
            </w:r>
            <w:r>
              <w:rPr>
                <w:rFonts w:hint="eastAsia" w:ascii="宋体" w:hAnsi="宋体"/>
                <w:sz w:val="21"/>
                <w:szCs w:val="21"/>
              </w:rPr>
              <w:t>倒空容器可能含有有害物。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dxa"/>
            <w:vMerge w:val="continue"/>
            <w:vAlign w:val="center"/>
          </w:tcPr>
          <w:p>
            <w:pPr>
              <w:spacing w:before="0" w:beforeLines="0" w:line="280" w:lineRule="exact"/>
              <w:ind w:firstLine="0" w:firstLineChars="0"/>
              <w:rPr>
                <w:rFonts w:ascii="宋体" w:hAnsi="宋体"/>
                <w:sz w:val="21"/>
                <w:szCs w:val="21"/>
              </w:rPr>
            </w:pPr>
          </w:p>
        </w:tc>
        <w:tc>
          <w:tcPr>
            <w:tcW w:w="1158"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z w:val="21"/>
                <w:szCs w:val="21"/>
              </w:rPr>
            </w:pPr>
            <w:r>
              <w:rPr>
                <w:rFonts w:ascii="宋体" w:hAnsi="宋体"/>
                <w:snapToGrid w:val="0"/>
                <w:kern w:val="0"/>
                <w:sz w:val="21"/>
                <w:szCs w:val="21"/>
              </w:rPr>
              <w:t>泄漏紧急处理</w:t>
            </w:r>
          </w:p>
        </w:tc>
        <w:tc>
          <w:tcPr>
            <w:tcW w:w="6837" w:type="dxa"/>
            <w:gridSpan w:val="6"/>
            <w:vAlign w:val="center"/>
          </w:tcPr>
          <w:p>
            <w:pPr>
              <w:autoSpaceDE w:val="0"/>
              <w:autoSpaceDN w:val="0"/>
              <w:adjustRightInd w:val="0"/>
              <w:snapToGrid w:val="0"/>
              <w:spacing w:before="0" w:beforeLines="0" w:line="280" w:lineRule="exact"/>
              <w:ind w:firstLine="0" w:firstLineChars="0"/>
              <w:textAlignment w:val="bottom"/>
              <w:rPr>
                <w:rFonts w:ascii="宋体" w:hAnsi="宋体"/>
                <w:sz w:val="21"/>
                <w:szCs w:val="21"/>
              </w:rPr>
            </w:pPr>
            <w:r>
              <w:rPr>
                <w:rFonts w:ascii="宋体" w:hAnsi="宋体"/>
                <w:snapToGrid w:val="0"/>
                <w:kern w:val="0"/>
                <w:sz w:val="21"/>
                <w:szCs w:val="21"/>
              </w:rPr>
              <w:t>迅速撤离泄漏污染区人员至上风，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bl>
    <w:p>
      <w:pPr>
        <w:spacing w:before="0" w:beforeLines="0" w:line="280" w:lineRule="exact"/>
        <w:ind w:firstLine="210" w:firstLineChars="100"/>
        <w:rPr>
          <w:rFonts w:ascii="宋体" w:hAnsi="宋体"/>
          <w:sz w:val="21"/>
          <w:szCs w:val="21"/>
        </w:rPr>
      </w:pPr>
      <w:bookmarkStart w:id="196" w:name="_Toc504738823"/>
      <w:bookmarkStart w:id="197" w:name="_Toc406417702"/>
      <w:bookmarkStart w:id="198" w:name="_Toc507245790"/>
      <w:r>
        <w:rPr>
          <w:rFonts w:hint="eastAsia" w:ascii="宋体" w:hAnsi="宋体"/>
          <w:sz w:val="21"/>
          <w:szCs w:val="21"/>
        </w:rPr>
        <w:t xml:space="preserve">                               汽油理化性质 </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331"/>
        <w:gridCol w:w="168"/>
        <w:gridCol w:w="500"/>
        <w:gridCol w:w="6"/>
        <w:gridCol w:w="168"/>
        <w:gridCol w:w="168"/>
        <w:gridCol w:w="162"/>
        <w:gridCol w:w="848"/>
        <w:gridCol w:w="176"/>
        <w:gridCol w:w="334"/>
        <w:gridCol w:w="164"/>
        <w:gridCol w:w="171"/>
        <w:gridCol w:w="174"/>
        <w:gridCol w:w="162"/>
        <w:gridCol w:w="6"/>
        <w:gridCol w:w="165"/>
        <w:gridCol w:w="165"/>
        <w:gridCol w:w="172"/>
        <w:gridCol w:w="169"/>
        <w:gridCol w:w="501"/>
        <w:gridCol w:w="82"/>
        <w:gridCol w:w="89"/>
        <w:gridCol w:w="174"/>
        <w:gridCol w:w="168"/>
        <w:gridCol w:w="669"/>
        <w:gridCol w:w="174"/>
        <w:gridCol w:w="370"/>
        <w:gridCol w:w="304"/>
        <w:gridCol w:w="164"/>
        <w:gridCol w:w="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中文名称</w:t>
            </w:r>
          </w:p>
        </w:tc>
        <w:tc>
          <w:tcPr>
            <w:tcW w:w="3033"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汽油</w:t>
            </w:r>
          </w:p>
        </w:tc>
        <w:tc>
          <w:tcPr>
            <w:tcW w:w="117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英文名称</w:t>
            </w:r>
          </w:p>
        </w:tc>
        <w:tc>
          <w:tcPr>
            <w:tcW w:w="304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Gasoline；Petrol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外观与气味</w:t>
            </w:r>
          </w:p>
        </w:tc>
        <w:tc>
          <w:tcPr>
            <w:tcW w:w="7254" w:type="dxa"/>
            <w:gridSpan w:val="2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无色至淡黄色的易流动液体（对于不同等级的汽油，数据变化较大）。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07"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熔点（℃）</w:t>
            </w:r>
          </w:p>
        </w:tc>
        <w:tc>
          <w:tcPr>
            <w:tcW w:w="84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＜-60</w:t>
            </w:r>
          </w:p>
        </w:tc>
        <w:tc>
          <w:tcPr>
            <w:tcW w:w="117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沸点（℃）</w:t>
            </w:r>
          </w:p>
        </w:tc>
        <w:tc>
          <w:tcPr>
            <w:tcW w:w="84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40~200</w:t>
            </w:r>
          </w:p>
        </w:tc>
        <w:tc>
          <w:tcPr>
            <w:tcW w:w="101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闪点（℃）</w:t>
            </w:r>
          </w:p>
        </w:tc>
        <w:tc>
          <w:tcPr>
            <w:tcW w:w="1014"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w:t>
            </w:r>
            <w:r>
              <w:rPr>
                <w:rFonts w:hint="eastAsia" w:ascii="宋体" w:hAnsi="宋体"/>
                <w:snapToGrid w:val="0"/>
                <w:kern w:val="0"/>
                <w:sz w:val="21"/>
                <w:szCs w:val="21"/>
              </w:rPr>
              <w:t>3</w:t>
            </w:r>
          </w:p>
        </w:tc>
        <w:tc>
          <w:tcPr>
            <w:tcW w:w="151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引燃温度（℃）</w:t>
            </w:r>
          </w:p>
        </w:tc>
        <w:tc>
          <w:tcPr>
            <w:tcW w:w="101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415~530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7"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相对密度</w:t>
            </w:r>
          </w:p>
        </w:tc>
        <w:tc>
          <w:tcPr>
            <w:tcW w:w="101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水＝1</w:t>
            </w:r>
          </w:p>
        </w:tc>
        <w:tc>
          <w:tcPr>
            <w:tcW w:w="152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0.70~0.78</w:t>
            </w:r>
          </w:p>
        </w:tc>
        <w:tc>
          <w:tcPr>
            <w:tcW w:w="1179" w:type="dxa"/>
            <w:gridSpan w:val="8"/>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毒性</w:t>
            </w:r>
          </w:p>
        </w:tc>
        <w:tc>
          <w:tcPr>
            <w:tcW w:w="1183"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253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7"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01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空气＝1</w:t>
            </w:r>
          </w:p>
        </w:tc>
        <w:tc>
          <w:tcPr>
            <w:tcW w:w="152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3~4</w:t>
            </w:r>
          </w:p>
        </w:tc>
        <w:tc>
          <w:tcPr>
            <w:tcW w:w="1179" w:type="dxa"/>
            <w:gridSpan w:val="8"/>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183"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危害程度</w:t>
            </w:r>
          </w:p>
        </w:tc>
        <w:tc>
          <w:tcPr>
            <w:tcW w:w="253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爆炸极限（V%）</w:t>
            </w:r>
          </w:p>
        </w:tc>
        <w:tc>
          <w:tcPr>
            <w:tcW w:w="1862"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w:t>
            </w:r>
            <w:r>
              <w:rPr>
                <w:rFonts w:hint="eastAsia" w:ascii="宋体" w:hAnsi="宋体"/>
                <w:snapToGrid w:val="0"/>
                <w:kern w:val="0"/>
                <w:sz w:val="21"/>
                <w:szCs w:val="21"/>
              </w:rPr>
              <w:t>4</w:t>
            </w:r>
            <w:r>
              <w:rPr>
                <w:rFonts w:ascii="宋体" w:hAnsi="宋体"/>
                <w:snapToGrid w:val="0"/>
                <w:kern w:val="0"/>
                <w:sz w:val="21"/>
                <w:szCs w:val="21"/>
              </w:rPr>
              <w:t>~7.6</w:t>
            </w:r>
          </w:p>
        </w:tc>
        <w:tc>
          <w:tcPr>
            <w:tcW w:w="842"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灭火剂</w:t>
            </w:r>
          </w:p>
        </w:tc>
        <w:tc>
          <w:tcPr>
            <w:tcW w:w="4050"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27"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工作场所空气中容许浓度（mg/m</w:t>
            </w:r>
            <w:r>
              <w:rPr>
                <w:rFonts w:ascii="宋体" w:hAnsi="宋体"/>
                <w:snapToGrid w:val="0"/>
                <w:kern w:val="0"/>
                <w:sz w:val="21"/>
                <w:szCs w:val="21"/>
                <w:vertAlign w:val="superscript"/>
              </w:rPr>
              <w:t>3</w:t>
            </w:r>
            <w:r>
              <w:rPr>
                <w:rFonts w:ascii="宋体" w:hAnsi="宋体"/>
                <w:snapToGrid w:val="0"/>
                <w:kern w:val="0"/>
                <w:sz w:val="21"/>
                <w:szCs w:val="21"/>
              </w:rPr>
              <w:t>）</w:t>
            </w:r>
          </w:p>
        </w:tc>
        <w:tc>
          <w:tcPr>
            <w:tcW w:w="67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MAC</w:t>
            </w:r>
          </w:p>
        </w:tc>
        <w:tc>
          <w:tcPr>
            <w:tcW w:w="843"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1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PC-TWA</w:t>
            </w:r>
          </w:p>
        </w:tc>
        <w:tc>
          <w:tcPr>
            <w:tcW w:w="101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300</w:t>
            </w:r>
          </w:p>
        </w:tc>
        <w:tc>
          <w:tcPr>
            <w:tcW w:w="101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PC-STEL</w:t>
            </w:r>
          </w:p>
        </w:tc>
        <w:tc>
          <w:tcPr>
            <w:tcW w:w="849"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毒物侵入途径</w:t>
            </w:r>
          </w:p>
        </w:tc>
        <w:tc>
          <w:tcPr>
            <w:tcW w:w="6754" w:type="dxa"/>
            <w:gridSpan w:val="2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物质危险性类别</w:t>
            </w:r>
          </w:p>
        </w:tc>
        <w:tc>
          <w:tcPr>
            <w:tcW w:w="2371"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第3.1类低闪点易燃液体</w:t>
            </w:r>
          </w:p>
        </w:tc>
        <w:tc>
          <w:tcPr>
            <w:tcW w:w="1685"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火灾危险性分类</w:t>
            </w:r>
          </w:p>
        </w:tc>
        <w:tc>
          <w:tcPr>
            <w:tcW w:w="269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w:t>
            </w:r>
            <w:r>
              <w:rPr>
                <w:rFonts w:ascii="宋体" w:hAnsi="宋体"/>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79"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爆炸物质级别及组别</w:t>
            </w:r>
          </w:p>
        </w:tc>
        <w:tc>
          <w:tcPr>
            <w:tcW w:w="169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1596"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ⅡA</w:t>
            </w:r>
          </w:p>
        </w:tc>
        <w:tc>
          <w:tcPr>
            <w:tcW w:w="164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组别</w:t>
            </w:r>
          </w:p>
        </w:tc>
        <w:tc>
          <w:tcPr>
            <w:tcW w:w="131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8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危险货物编号</w:t>
            </w:r>
          </w:p>
        </w:tc>
        <w:tc>
          <w:tcPr>
            <w:tcW w:w="152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31001</w:t>
            </w:r>
          </w:p>
        </w:tc>
        <w:tc>
          <w:tcPr>
            <w:tcW w:w="101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UN编号</w:t>
            </w:r>
          </w:p>
        </w:tc>
        <w:tc>
          <w:tcPr>
            <w:tcW w:w="151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1203</w:t>
            </w:r>
          </w:p>
        </w:tc>
        <w:tc>
          <w:tcPr>
            <w:tcW w:w="101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CAS No.</w:t>
            </w:r>
          </w:p>
        </w:tc>
        <w:tc>
          <w:tcPr>
            <w:tcW w:w="168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8006-61-9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8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包装类别</w:t>
            </w:r>
          </w:p>
        </w:tc>
        <w:tc>
          <w:tcPr>
            <w:tcW w:w="2533"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Ⅱ类</w:t>
            </w:r>
          </w:p>
        </w:tc>
        <w:tc>
          <w:tcPr>
            <w:tcW w:w="151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包装标志</w:t>
            </w:r>
          </w:p>
        </w:tc>
        <w:tc>
          <w:tcPr>
            <w:tcW w:w="269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危险特性</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其蒸气与空气可形成爆炸性混合物，遇明火、高热极易燃烧爆炸。与氧化剂能发生强烈反应。其蒸气比空气重，能在较低处扩散到相当远的地方，遇火源会着火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灭火方法</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健康危害</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为麻醉性毒物。主要引起中枢神经系统功能障碍，高浓度时引起呼吸中枢麻痹。轻度中毒的表现有头痛、头晕、短暂意识障碍、四肢无力、恶心、呕吐、易激动，步态不稳、共济失调等。重度中毒：高浓度汽油蒸气可引起中毒性脑病，少数患者发生脑水肿；吸入较高浓度可引起突然意识丧失，反射性呼吸停止及化学性肺炎，部分患者出现中毒性精神病症状。经口急性中毒出现消化道症状，严重者可出现类似急性中毒症状，汽油直接吸入呼吸道，可致吸入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2"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泄漏紧急处理</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迅速撤离泄漏污染区人员至上风，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操作处置注意事项</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密闭操作，全面通风。操作人员必须经过专门培训，严格遵守操作规程。建议操作人员穿防静电工人服，戴橡胶耐油手套。远离火种、热源，工作场所严禁吸烟。使用防爆型的通风系统和设备。防止蒸气泄漏到工作场所的空气中。避免与氧化剂接触。灌装时应控制流速，且有接地装置，防止静电积聚。搬运时轻装轻卸，防止钢瓶和附件破损。配备相应品种和数量的消防器材及泄漏应急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1"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储存注意事项</w:t>
            </w:r>
          </w:p>
        </w:tc>
        <w:tc>
          <w:tcPr>
            <w:tcW w:w="7753" w:type="dxa"/>
            <w:gridSpan w:val="30"/>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储存于阴凉、通风库房内。远离火种、热源。库房内温度不宜超过30度。保持容器密封。应与氧化剂分开存放，切忌混储。采用防爆型照明、通风设施。禁止使用易产生火花的机械设备和工具。储区应备用泄漏应急处理设备和合适的收容材料。</w:t>
            </w:r>
          </w:p>
        </w:tc>
      </w:tr>
    </w:tbl>
    <w:p>
      <w:pPr>
        <w:pStyle w:val="29"/>
        <w:spacing w:before="0" w:beforeLines="0" w:after="0" w:line="280" w:lineRule="exact"/>
        <w:ind w:left="0" w:leftChars="0" w:firstLine="0" w:firstLineChars="0"/>
        <w:rPr>
          <w:rFonts w:ascii="宋体" w:hAnsi="宋体"/>
          <w:sz w:val="21"/>
          <w:szCs w:val="21"/>
        </w:rPr>
      </w:pPr>
    </w:p>
    <w:p>
      <w:pPr>
        <w:spacing w:before="0" w:beforeLines="0" w:line="280" w:lineRule="exact"/>
        <w:ind w:firstLine="3360" w:firstLineChars="1600"/>
        <w:rPr>
          <w:rFonts w:ascii="宋体" w:hAnsi="宋体"/>
          <w:sz w:val="21"/>
          <w:szCs w:val="21"/>
        </w:rPr>
      </w:pPr>
    </w:p>
    <w:p>
      <w:pPr>
        <w:spacing w:before="0" w:beforeLines="0" w:line="280" w:lineRule="exact"/>
        <w:ind w:firstLine="3360" w:firstLineChars="1600"/>
        <w:rPr>
          <w:rFonts w:ascii="宋体" w:hAnsi="宋体"/>
          <w:sz w:val="21"/>
          <w:szCs w:val="21"/>
        </w:rPr>
      </w:pPr>
      <w:r>
        <w:rPr>
          <w:rFonts w:hint="eastAsia" w:ascii="宋体" w:hAnsi="宋体"/>
          <w:sz w:val="21"/>
          <w:szCs w:val="21"/>
        </w:rPr>
        <w:t xml:space="preserve"> </w:t>
      </w:r>
      <w:r>
        <w:rPr>
          <w:rFonts w:ascii="宋体" w:hAnsi="宋体"/>
          <w:sz w:val="21"/>
          <w:szCs w:val="21"/>
        </w:rPr>
        <w:t>石脑油</w:t>
      </w:r>
      <w:bookmarkEnd w:id="196"/>
      <w:bookmarkEnd w:id="197"/>
      <w:bookmarkEnd w:id="198"/>
      <w:r>
        <w:rPr>
          <w:rFonts w:hint="eastAsia" w:ascii="宋体" w:hAnsi="宋体"/>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567"/>
        <w:gridCol w:w="261"/>
        <w:gridCol w:w="336"/>
        <w:gridCol w:w="168"/>
        <w:gridCol w:w="86"/>
        <w:gridCol w:w="771"/>
        <w:gridCol w:w="156"/>
        <w:gridCol w:w="508"/>
        <w:gridCol w:w="166"/>
        <w:gridCol w:w="172"/>
        <w:gridCol w:w="334"/>
        <w:gridCol w:w="11"/>
        <w:gridCol w:w="160"/>
        <w:gridCol w:w="165"/>
        <w:gridCol w:w="343"/>
        <w:gridCol w:w="500"/>
        <w:gridCol w:w="84"/>
        <w:gridCol w:w="86"/>
        <w:gridCol w:w="177"/>
        <w:gridCol w:w="168"/>
        <w:gridCol w:w="666"/>
        <w:gridCol w:w="177"/>
        <w:gridCol w:w="366"/>
        <w:gridCol w:w="310"/>
        <w:gridCol w:w="160"/>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中文名称</w:t>
            </w:r>
          </w:p>
        </w:tc>
        <w:tc>
          <w:tcPr>
            <w:tcW w:w="2958"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石脑油</w:t>
            </w:r>
          </w:p>
        </w:tc>
        <w:tc>
          <w:tcPr>
            <w:tcW w:w="117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英文名称</w:t>
            </w:r>
          </w:p>
        </w:tc>
        <w:tc>
          <w:tcPr>
            <w:tcW w:w="3050"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Crude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外观与气味</w:t>
            </w:r>
          </w:p>
        </w:tc>
        <w:tc>
          <w:tcPr>
            <w:tcW w:w="7187" w:type="dxa"/>
            <w:gridSpan w:val="2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无色或浅黄色液体，有特殊气味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4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熔点（℃）</w:t>
            </w:r>
          </w:p>
        </w:tc>
        <w:tc>
          <w:tcPr>
            <w:tcW w:w="597"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18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沸点（℃）</w:t>
            </w:r>
          </w:p>
        </w:tc>
        <w:tc>
          <w:tcPr>
            <w:tcW w:w="84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30~220</w:t>
            </w:r>
          </w:p>
        </w:tc>
        <w:tc>
          <w:tcPr>
            <w:tcW w:w="101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闪点（℃）</w:t>
            </w:r>
          </w:p>
        </w:tc>
        <w:tc>
          <w:tcPr>
            <w:tcW w:w="101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＜28</w:t>
            </w:r>
          </w:p>
        </w:tc>
        <w:tc>
          <w:tcPr>
            <w:tcW w:w="1519"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引燃温度（℃）</w:t>
            </w:r>
          </w:p>
        </w:tc>
        <w:tc>
          <w:tcPr>
            <w:tcW w:w="1016"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480~510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343"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相对密度</w:t>
            </w:r>
          </w:p>
        </w:tc>
        <w:tc>
          <w:tcPr>
            <w:tcW w:w="76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水＝1</w:t>
            </w:r>
          </w:p>
        </w:tc>
        <w:tc>
          <w:tcPr>
            <w:tcW w:w="152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0.69-0.76</w:t>
            </w:r>
          </w:p>
        </w:tc>
        <w:tc>
          <w:tcPr>
            <w:tcW w:w="1351"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毒性</w:t>
            </w:r>
          </w:p>
        </w:tc>
        <w:tc>
          <w:tcPr>
            <w:tcW w:w="101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253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343"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76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空气＝1</w:t>
            </w:r>
          </w:p>
        </w:tc>
        <w:tc>
          <w:tcPr>
            <w:tcW w:w="152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无资料</w:t>
            </w:r>
          </w:p>
        </w:tc>
        <w:tc>
          <w:tcPr>
            <w:tcW w:w="1351" w:type="dxa"/>
            <w:gridSpan w:val="7"/>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p>
        </w:tc>
        <w:tc>
          <w:tcPr>
            <w:tcW w:w="101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危害程度</w:t>
            </w:r>
          </w:p>
        </w:tc>
        <w:tc>
          <w:tcPr>
            <w:tcW w:w="253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爆炸极限（V%）</w:t>
            </w:r>
          </w:p>
        </w:tc>
        <w:tc>
          <w:tcPr>
            <w:tcW w:w="202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1.2~6.0</w:t>
            </w:r>
          </w:p>
        </w:tc>
        <w:tc>
          <w:tcPr>
            <w:tcW w:w="84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灭火剂</w:t>
            </w:r>
          </w:p>
        </w:tc>
        <w:tc>
          <w:tcPr>
            <w:tcW w:w="4058" w:type="dxa"/>
            <w:gridSpan w:val="1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21"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工作场所空气中容许浓度（mg/m</w:t>
            </w:r>
            <w:r>
              <w:rPr>
                <w:rFonts w:ascii="宋体" w:hAnsi="宋体"/>
                <w:snapToGrid w:val="0"/>
                <w:kern w:val="0"/>
                <w:sz w:val="21"/>
                <w:szCs w:val="21"/>
                <w:vertAlign w:val="superscript"/>
              </w:rPr>
              <w:t>3</w:t>
            </w:r>
            <w:r>
              <w:rPr>
                <w:rFonts w:ascii="宋体" w:hAnsi="宋体"/>
                <w:snapToGrid w:val="0"/>
                <w:kern w:val="0"/>
                <w:sz w:val="21"/>
                <w:szCs w:val="21"/>
              </w:rPr>
              <w:t>）</w:t>
            </w:r>
          </w:p>
        </w:tc>
        <w:tc>
          <w:tcPr>
            <w:tcW w:w="674"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MAC</w:t>
            </w:r>
          </w:p>
        </w:tc>
        <w:tc>
          <w:tcPr>
            <w:tcW w:w="84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PC-TWA</w:t>
            </w:r>
          </w:p>
        </w:tc>
        <w:tc>
          <w:tcPr>
            <w:tcW w:w="101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c>
          <w:tcPr>
            <w:tcW w:w="10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PC-STEL</w:t>
            </w:r>
          </w:p>
        </w:tc>
        <w:tc>
          <w:tcPr>
            <w:tcW w:w="85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19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毒物侵入途径</w:t>
            </w:r>
          </w:p>
        </w:tc>
        <w:tc>
          <w:tcPr>
            <w:tcW w:w="6336" w:type="dxa"/>
            <w:gridSpan w:val="21"/>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9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物质危险性类别</w:t>
            </w:r>
          </w:p>
        </w:tc>
        <w:tc>
          <w:tcPr>
            <w:tcW w:w="211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第3.2类中闪点易燃液体</w:t>
            </w:r>
          </w:p>
        </w:tc>
        <w:tc>
          <w:tcPr>
            <w:tcW w:w="1683"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火灾危险性分类</w:t>
            </w:r>
          </w:p>
        </w:tc>
        <w:tc>
          <w:tcPr>
            <w:tcW w:w="253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甲</w:t>
            </w:r>
            <w:r>
              <w:rPr>
                <w:rFonts w:ascii="宋体" w:hAnsi="宋体"/>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19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爆炸物质级别及组别</w:t>
            </w:r>
          </w:p>
        </w:tc>
        <w:tc>
          <w:tcPr>
            <w:tcW w:w="177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级别</w:t>
            </w:r>
          </w:p>
        </w:tc>
        <w:tc>
          <w:tcPr>
            <w:tcW w:w="1597"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ⅡA</w:t>
            </w:r>
          </w:p>
        </w:tc>
        <w:tc>
          <w:tcPr>
            <w:tcW w:w="164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组别</w:t>
            </w:r>
          </w:p>
        </w:tc>
        <w:tc>
          <w:tcPr>
            <w:tcW w:w="132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19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危险货物编号</w:t>
            </w:r>
          </w:p>
        </w:tc>
        <w:tc>
          <w:tcPr>
            <w:tcW w:w="771"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32004</w:t>
            </w:r>
          </w:p>
        </w:tc>
        <w:tc>
          <w:tcPr>
            <w:tcW w:w="134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UN编号</w:t>
            </w:r>
          </w:p>
        </w:tc>
        <w:tc>
          <w:tcPr>
            <w:tcW w:w="1515"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1256，2553</w:t>
            </w:r>
          </w:p>
        </w:tc>
        <w:tc>
          <w:tcPr>
            <w:tcW w:w="101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CAS No.</w:t>
            </w:r>
          </w:p>
        </w:tc>
        <w:tc>
          <w:tcPr>
            <w:tcW w:w="169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8030-30-6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19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包装类别</w:t>
            </w:r>
          </w:p>
        </w:tc>
        <w:tc>
          <w:tcPr>
            <w:tcW w:w="211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Ⅱ类包装</w:t>
            </w:r>
          </w:p>
        </w:tc>
        <w:tc>
          <w:tcPr>
            <w:tcW w:w="1515"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包装标志</w:t>
            </w:r>
          </w:p>
        </w:tc>
        <w:tc>
          <w:tcPr>
            <w:tcW w:w="270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危险特性</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遇高热、明火及强氧化剂易引起燃烧。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灭火方法</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喷水冷却容器，可能的话将容器从火场移至空旷处。处在火场中的容器若已变色或从安全泄压装置中产生声音，必须马上撤离。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健康危害</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石脑油蒸气可引起眼及上呼吸道刺激症状，如浓度过高，几分钟即可引起呼吸困难、紫绀等缺氧症状。吸入大量蒸气能引起神麻痹。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泄漏紧急处理</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迅速撤离泄漏污染区人员至安全区，并进行隔离，严格限制出入。切断火源。建议应急处理人员戴自给正压式呼吸器，穿防静电工作服。尽可能切断泄漏源。防止流入下水道、排洪沟等限制性空间。小量泄漏：用砂土、蛭石或其它惰性材料吸收。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4"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操作处置注意事项</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密闭操作，全面通风。操作人员必须经过专门培训，严格遵守操作规程。建议操作人员佩戴过滤式防毒面具（半面罩），戴安全防护眼镜，穿防静电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 w:hRule="atLeast"/>
          <w:tblHeader/>
          <w:jc w:val="center"/>
        </w:trPr>
        <w:tc>
          <w:tcPr>
            <w:tcW w:w="776" w:type="dxa"/>
            <w:vAlign w:val="center"/>
          </w:tcPr>
          <w:p>
            <w:pPr>
              <w:autoSpaceDE w:val="0"/>
              <w:autoSpaceDN w:val="0"/>
              <w:adjustRightInd w:val="0"/>
              <w:snapToGrid w:val="0"/>
              <w:spacing w:before="0" w:beforeLines="0" w:line="280" w:lineRule="exact"/>
              <w:ind w:firstLine="0" w:firstLineChars="0"/>
              <w:jc w:val="center"/>
              <w:textAlignment w:val="bottom"/>
              <w:rPr>
                <w:rFonts w:ascii="宋体" w:hAnsi="宋体"/>
                <w:snapToGrid w:val="0"/>
                <w:kern w:val="0"/>
                <w:sz w:val="21"/>
                <w:szCs w:val="21"/>
              </w:rPr>
            </w:pPr>
            <w:r>
              <w:rPr>
                <w:rFonts w:ascii="宋体" w:hAnsi="宋体"/>
                <w:snapToGrid w:val="0"/>
                <w:kern w:val="0"/>
                <w:sz w:val="21"/>
                <w:szCs w:val="21"/>
              </w:rPr>
              <w:t>储存注意事项</w:t>
            </w:r>
          </w:p>
        </w:tc>
        <w:tc>
          <w:tcPr>
            <w:tcW w:w="7754" w:type="dxa"/>
            <w:gridSpan w:val="26"/>
            <w:vAlign w:val="center"/>
          </w:tcPr>
          <w:p>
            <w:pPr>
              <w:autoSpaceDE w:val="0"/>
              <w:autoSpaceDN w:val="0"/>
              <w:adjustRightInd w:val="0"/>
              <w:snapToGrid w:val="0"/>
              <w:spacing w:before="0" w:beforeLines="0" w:line="280" w:lineRule="exact"/>
              <w:ind w:firstLine="0" w:firstLineChars="0"/>
              <w:textAlignment w:val="bottom"/>
              <w:rPr>
                <w:rFonts w:ascii="宋体" w:hAnsi="宋体"/>
                <w:snapToGrid w:val="0"/>
                <w:kern w:val="0"/>
                <w:sz w:val="21"/>
                <w:szCs w:val="21"/>
              </w:rPr>
            </w:pPr>
            <w:r>
              <w:rPr>
                <w:rFonts w:ascii="宋体" w:hAnsi="宋体"/>
                <w:snapToGrid w:val="0"/>
                <w:kern w:val="0"/>
                <w:sz w:val="21"/>
                <w:szCs w:val="21"/>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bl>
    <w:p>
      <w:pPr>
        <w:spacing w:before="0" w:beforeLines="0" w:line="280" w:lineRule="exact"/>
        <w:ind w:firstLine="0" w:firstLineChars="0"/>
        <w:rPr>
          <w:rFonts w:ascii="宋体" w:hAnsi="宋体"/>
          <w:sz w:val="21"/>
          <w:szCs w:val="21"/>
        </w:rPr>
      </w:pPr>
    </w:p>
    <w:p>
      <w:pPr>
        <w:pStyle w:val="29"/>
        <w:spacing w:before="0" w:beforeLines="0" w:after="0" w:line="280" w:lineRule="exact"/>
        <w:ind w:left="0" w:leftChars="0" w:firstLine="0" w:firstLineChars="0"/>
        <w:rPr>
          <w:rFonts w:ascii="宋体" w:hAnsi="宋体"/>
          <w:sz w:val="21"/>
          <w:szCs w:val="21"/>
        </w:rPr>
      </w:pPr>
    </w:p>
    <w:p>
      <w:pPr>
        <w:spacing w:before="0" w:beforeLines="0" w:line="280" w:lineRule="exact"/>
        <w:ind w:firstLine="0" w:firstLineChars="0"/>
        <w:rPr>
          <w:rFonts w:asciiTheme="minorEastAsia" w:hAnsiTheme="minorEastAsia" w:eastAsiaTheme="minorEastAsia"/>
          <w:sz w:val="21"/>
          <w:szCs w:val="21"/>
        </w:rPr>
      </w:pPr>
      <w:bookmarkStart w:id="199" w:name="_Toc430165507"/>
      <w:bookmarkStart w:id="200" w:name="_Toc437971382"/>
      <w:bookmarkStart w:id="201" w:name="_Toc429400277"/>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一氧化碳</w:t>
      </w:r>
      <w:r>
        <w:rPr>
          <w:rFonts w:hint="eastAsia" w:asciiTheme="minorEastAsia" w:hAnsiTheme="minorEastAsia" w:eastAsiaTheme="minorEastAsia"/>
          <w:sz w:val="21"/>
          <w:szCs w:val="21"/>
        </w:rPr>
        <w:t>理化性质</w:t>
      </w:r>
    </w:p>
    <w:tbl>
      <w:tblPr>
        <w:tblStyle w:val="54"/>
        <w:tblW w:w="85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532"/>
        <w:gridCol w:w="1038"/>
        <w:gridCol w:w="708"/>
        <w:gridCol w:w="292"/>
        <w:gridCol w:w="417"/>
        <w:gridCol w:w="188"/>
        <w:gridCol w:w="53"/>
        <w:gridCol w:w="327"/>
        <w:gridCol w:w="8"/>
        <w:gridCol w:w="275"/>
        <w:gridCol w:w="49"/>
        <w:gridCol w:w="167"/>
        <w:gridCol w:w="169"/>
        <w:gridCol w:w="489"/>
        <w:gridCol w:w="61"/>
        <w:gridCol w:w="111"/>
        <w:gridCol w:w="169"/>
        <w:gridCol w:w="161"/>
        <w:gridCol w:w="164"/>
        <w:gridCol w:w="497"/>
        <w:gridCol w:w="168"/>
        <w:gridCol w:w="365"/>
        <w:gridCol w:w="460"/>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1"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023" w:type="dxa"/>
            <w:gridSpan w:val="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一氧化碳</w:t>
            </w:r>
          </w:p>
        </w:tc>
        <w:tc>
          <w:tcPr>
            <w:tcW w:w="115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149" w:type="dxa"/>
            <w:gridSpan w:val="10"/>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Carbon monoxide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1"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329" w:type="dxa"/>
            <w:gridSpan w:val="23"/>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1"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1038"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-199.1</w:t>
            </w:r>
          </w:p>
        </w:tc>
        <w:tc>
          <w:tcPr>
            <w:tcW w:w="708"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95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-191.4</w:t>
            </w:r>
          </w:p>
        </w:tc>
        <w:tc>
          <w:tcPr>
            <w:tcW w:w="99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15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&lt;-50</w:t>
            </w:r>
          </w:p>
        </w:tc>
        <w:tc>
          <w:tcPr>
            <w:tcW w:w="149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993"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1"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038" w:type="dxa"/>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417" w:type="dxa"/>
            <w:gridSpan w:val="3"/>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0.79</w:t>
            </w:r>
          </w:p>
        </w:tc>
        <w:tc>
          <w:tcPr>
            <w:tcW w:w="1067"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160"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647"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201"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38" w:type="dxa"/>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417" w:type="dxa"/>
            <w:gridSpan w:val="3"/>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0.97</w:t>
            </w:r>
          </w:p>
        </w:tc>
        <w:tc>
          <w:tcPr>
            <w:tcW w:w="1067" w:type="dxa"/>
            <w:gridSpan w:val="7"/>
            <w:vMerge w:val="continue"/>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160"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647"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高度危害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1417"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12~74.2</w:t>
            </w:r>
          </w:p>
        </w:tc>
        <w:tc>
          <w:tcPr>
            <w:tcW w:w="85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023"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雾状水、泡沫、干粉、二氧化碳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94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709"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90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99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99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20</w:t>
            </w:r>
          </w:p>
        </w:tc>
        <w:tc>
          <w:tcPr>
            <w:tcW w:w="99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993"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291" w:type="dxa"/>
            <w:gridSpan w:val="2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165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第2.1类易燃气体</w:t>
            </w:r>
          </w:p>
        </w:tc>
        <w:tc>
          <w:tcPr>
            <w:tcW w:w="1656"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97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60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598"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635"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45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000"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21005</w:t>
            </w:r>
          </w:p>
        </w:tc>
        <w:tc>
          <w:tcPr>
            <w:tcW w:w="99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49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1016</w:t>
            </w:r>
          </w:p>
        </w:tc>
        <w:tc>
          <w:tcPr>
            <w:tcW w:w="99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81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630－08－0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199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49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80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是一种易燃易爆气体。与空气混合能形成爆炸性混合物，遇高热或明火能会发生爆炸。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切断气源。若不能切断气源，则不允许熄灭泄漏处的火焰。喷水冷却容器，可能的话将容器从火场移至空旷处。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7"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一氧化碳在血液中与血红蛋白结合而造成组织缺氧。</w:t>
            </w:r>
          </w:p>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急性中毒：轻度中毒者出现头痛、头晕、耳鸣、心悸、恶心、呕吐、无力，血液碳氧血红蛋白浓度可高于10％；中度中毒者除上述症状外，还有皮肤颜色呈樱红色、脉快、烦躁、步态不稳、浅至中度昏迷，血液碳氧血红蛋白浓度可达30％：重度患者深度昏迷、瞳孔缩小、肌张力增强、频繁抽搐、大小便失禁、休克、肺水肿、严重心肌损害等，血液碳氧血红蛋白可高达50％。部分患者昏迷苏醒后，约经2～60天的症状缓解期后，又可能出现迟发性脑病，以意识精神障碍、锥体系或锥体外系损害为主。慢性影响：能否造成慢性中毒及对心血管影响无定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迅速撤离泄漏污染区人员至上风处，并隔离150米，严格限制出入。切断火源。建议应急处理人员佩戴自吸过滤式防毒面具，穿防静电工作服。尽可能切断泄漏源。合理通风，加速扩散。喷雾状水稀释、溶解。构筑围堤或挖坑收容产生的大量废水。如有可能，将漏出气用排风机送至空旷地方或装适当喷头烧掉。也可用管路导至炉中、凹地焚之。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8"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严加密闭，提供充分的局部排风和全面通风。操作人员必须经过专门培训，严格遵守操作规程。建议操作人员佩戴过滤式防毒面具，穿防静电工作服。远离火种、热源，工作场所严禁吸烟。使用防爆型通风系统和设备。防止气体泄漏到工作场所的空气中。避免与氧化剂、碱类接触。在传送过程中，钢瓶和容器必须接地和跨接，防止产生静电。搬运时轻装轻卸，防止钢瓶和附件破损。配备相应品种和数量的消防器材和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blHeader/>
          <w:jc w:val="center"/>
        </w:trPr>
        <w:tc>
          <w:tcPr>
            <w:tcW w:w="66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7861" w:type="dxa"/>
            <w:gridSpan w:val="24"/>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的库房内。远离火种、热源。库温不超过30℃。应与氧化剂、碱类、食用化学品分开存放，切忌混储。采用防爆型的照明、通风设施。禁止使用易产生火花的机械设备和工具。储区应备有泄漏应急处理设备。</w:t>
            </w:r>
          </w:p>
        </w:tc>
      </w:tr>
    </w:tbl>
    <w:p>
      <w:pPr>
        <w:pStyle w:val="29"/>
        <w:spacing w:before="0" w:beforeLines="0" w:after="0" w:line="280" w:lineRule="exact"/>
        <w:ind w:left="0" w:leftChars="0" w:firstLine="0" w:firstLineChars="0"/>
        <w:rPr>
          <w:rFonts w:asciiTheme="minorEastAsia" w:hAnsiTheme="minorEastAsia" w:eastAsiaTheme="minorEastAsia"/>
          <w:sz w:val="21"/>
          <w:szCs w:val="21"/>
        </w:rPr>
      </w:pPr>
    </w:p>
    <w:bookmarkEnd w:id="199"/>
    <w:bookmarkEnd w:id="200"/>
    <w:bookmarkEnd w:id="201"/>
    <w:p>
      <w:pPr>
        <w:tabs>
          <w:tab w:val="left" w:pos="2715"/>
          <w:tab w:val="center" w:pos="4535"/>
        </w:tabs>
        <w:snapToGrid w:val="0"/>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 xml:space="preserve">                              叔丁醇理化性质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1324"/>
        <w:gridCol w:w="1666"/>
        <w:gridCol w:w="352"/>
        <w:gridCol w:w="315"/>
        <w:gridCol w:w="1735"/>
        <w:gridCol w:w="2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理</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化</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质</w:t>
            </w: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外观与性状</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无色结晶或液体，有樟脑气味。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成分</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bCs/>
                <w:sz w:val="21"/>
                <w:szCs w:val="21"/>
              </w:rPr>
              <w:t>叔丁醇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燃烧热（kJ/mol）</w:t>
            </w:r>
          </w:p>
        </w:tc>
        <w:tc>
          <w:tcPr>
            <w:tcW w:w="2018" w:type="dxa"/>
            <w:gridSpan w:val="2"/>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2630.5</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相对密度（水=1）</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0.7</w:t>
            </w:r>
            <w:r>
              <w:rPr>
                <w:rFonts w:hint="eastAsia" w:asciiTheme="minorEastAsia" w:hAnsiTheme="minorEastAsia" w:eastAsiaTheme="minorEastAsia"/>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018" w:type="dxa"/>
            <w:gridSpan w:val="2"/>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相对密度（空气=1）</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炸</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险</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燃烧性</w:t>
            </w:r>
          </w:p>
        </w:tc>
        <w:tc>
          <w:tcPr>
            <w:tcW w:w="2018"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易燃</w:t>
            </w:r>
            <w:r>
              <w:rPr>
                <w:rFonts w:hint="eastAsia" w:asciiTheme="minorEastAsia" w:hAnsiTheme="minorEastAsia" w:eastAsiaTheme="minorEastAsia"/>
                <w:sz w:val="21"/>
                <w:szCs w:val="21"/>
              </w:rPr>
              <w:t>液体</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建规火险性分级</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闪点（</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2018"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11</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爆炸极限%（V/V）</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2.3～8.0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引燃温度</w:t>
            </w:r>
            <w:r>
              <w:rPr>
                <w:rFonts w:asciiTheme="minorEastAsia" w:hAnsiTheme="minorEastAsia" w:eastAsiaTheme="minorEastAsia"/>
                <w:sz w:val="21"/>
                <w:szCs w:val="21"/>
              </w:rPr>
              <w:t>（</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2018"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470</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燃爆</w:t>
            </w:r>
            <w:r>
              <w:rPr>
                <w:rFonts w:asciiTheme="minorEastAsia" w:hAnsiTheme="minorEastAsia" w:eastAsiaTheme="minorEastAsia"/>
                <w:sz w:val="21"/>
                <w:szCs w:val="21"/>
              </w:rPr>
              <w:t>危险</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稳定性</w:t>
            </w:r>
          </w:p>
        </w:tc>
        <w:tc>
          <w:tcPr>
            <w:tcW w:w="2018"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燃烧分解产物</w:t>
            </w:r>
          </w:p>
        </w:tc>
        <w:tc>
          <w:tcPr>
            <w:tcW w:w="289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危险特性</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易燃，其蒸气与空气可形成爆炸性混合物，遇明火、高热能引起燃烧爆炸。与氧化剂能发生强烈反应。其蒸气比空气重，能在较低处扩散到相当远的地方，遇火源会着火回燃。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危险性类别</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第3.2类 中闪点液体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灭火方法</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泄漏处理措施</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迅速撤离泄漏污染区人员至安全区，并进行隔离，严格限制出入。切断火源。建议应急处理人员戴自给正压式呼吸器，穿防静电工作服。若是液体。尽可能切断泄漏源。防止流入下水道、排洪沟等限制性空间。小量泄漏：用活性炭或其它惰性材料吸收。也可以用大量水冲洗，洗水稀释后放入废水系统。大量泄漏：构筑围堤或挖坑收容。用泡沫覆盖，降低蒸气灾害。用防爆泵转移至槽车或专用收集器内，回收或运至废物处理场所处置。若是固体，用洁净的铲子收集于干燥、洁净、有盖的容器中。若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1" w:hRule="atLeast"/>
          <w:jc w:val="center"/>
        </w:trPr>
        <w:tc>
          <w:tcPr>
            <w:tcW w:w="892"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包装储存运输要求</w:t>
            </w:r>
          </w:p>
        </w:tc>
        <w:tc>
          <w:tcPr>
            <w:tcW w:w="8285"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w:t>
            </w:r>
            <w:r>
              <w:rPr>
                <w:rFonts w:hint="eastAsia" w:asciiTheme="minorEastAsia" w:hAnsiTheme="minorEastAsia" w:eastAsiaTheme="minorEastAsia"/>
                <w:sz w:val="21"/>
                <w:szCs w:val="21"/>
              </w:rPr>
              <w:t>类别：052</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w:t>
            </w:r>
            <w:r>
              <w:rPr>
                <w:rFonts w:hint="eastAsia" w:asciiTheme="minorEastAsia" w:hAnsiTheme="minorEastAsia" w:eastAsiaTheme="minorEastAsia"/>
                <w:sz w:val="21"/>
                <w:szCs w:val="21"/>
              </w:rPr>
              <w:t>标志</w:t>
            </w:r>
            <w:r>
              <w:rPr>
                <w:rFonts w:asciiTheme="minorEastAsia" w:hAnsiTheme="minorEastAsia" w:eastAsiaTheme="minorEastAsia"/>
                <w:sz w:val="21"/>
                <w:szCs w:val="21"/>
              </w:rPr>
              <w:t>：易燃液体；有毒品</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储存注意事项：储存于阴凉、通风的库房。远离火种、热源。库温不宜超过30℃。保持容器密封。应与氧化剂、酸类等分开存放，切忌混储。采用防爆型照明、通风设施。禁止使用易产生火花的机械设备和工具。储区应备有泄漏应急处理设备和合适的收容材料。</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运输注意事项：运输时运输车辆应配备相应品种和数量的消防器材及泄漏应急处理设备。夏季最好早晚运输。运输时所用的槽（罐）车应有接地链，槽内可设孔隔板以减少震荡产生静电。严禁与氧化剂、酸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毒性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及健</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康危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害</w:t>
            </w: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接触限值</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中国MAC（mg/m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 xml:space="preserve">）：未制定标准 </w:t>
            </w:r>
            <w:r>
              <w:rPr>
                <w:rFonts w:hint="eastAsia" w:asciiTheme="minorEastAsia" w:hAnsiTheme="minorEastAsia" w:eastAsiaTheme="minorEastAsia"/>
                <w:sz w:val="21"/>
                <w:szCs w:val="21"/>
              </w:rPr>
              <w:t>前苏联</w:t>
            </w:r>
            <w:r>
              <w:rPr>
                <w:rFonts w:asciiTheme="minorEastAsia" w:hAnsiTheme="minorEastAsia" w:eastAsiaTheme="minorEastAsia"/>
                <w:sz w:val="21"/>
                <w:szCs w:val="21"/>
              </w:rPr>
              <w:t>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w:t>
            </w:r>
            <w:r>
              <w:rPr>
                <w:rFonts w:hint="eastAsia" w:asciiTheme="minorEastAsia" w:hAnsiTheme="minorEastAsia" w:eastAsiaTheme="minorEastAsia"/>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侵入途径</w:t>
            </w:r>
          </w:p>
        </w:tc>
        <w:tc>
          <w:tcPr>
            <w:tcW w:w="1666" w:type="dxa"/>
            <w:vAlign w:val="center"/>
          </w:tcPr>
          <w:p>
            <w:pPr>
              <w:spacing w:before="0" w:beforeLines="0" w:line="280" w:lineRule="exact"/>
              <w:ind w:firstLine="0" w:firstLineChars="0"/>
              <w:rPr>
                <w:rFonts w:asciiTheme="minorEastAsia" w:hAnsiTheme="minorEastAsia" w:eastAsiaTheme="minorEastAsia"/>
                <w:sz w:val="21"/>
                <w:szCs w:val="21"/>
              </w:rPr>
            </w:pPr>
          </w:p>
        </w:tc>
        <w:tc>
          <w:tcPr>
            <w:tcW w:w="667"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危害</w:t>
            </w:r>
          </w:p>
        </w:tc>
        <w:tc>
          <w:tcPr>
            <w:tcW w:w="4628"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对环境可能有害，对水体给于特别注意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健康危害</w:t>
            </w:r>
          </w:p>
        </w:tc>
        <w:tc>
          <w:tcPr>
            <w:tcW w:w="6961"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吸入或口服对身体有害。对眼睛、皮肤、粘膜和呼吸道有刺激作用。中毒表现可有头痛、恶心、眩晕。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324"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防护措施</w:t>
            </w:r>
          </w:p>
        </w:tc>
        <w:tc>
          <w:tcPr>
            <w:tcW w:w="6961" w:type="dxa"/>
            <w:gridSpan w:val="5"/>
            <w:vAlign w:val="center"/>
          </w:tcPr>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工程控制：生产过程密闭，全面通风。提供安全淋浴和洗眼设备。</w:t>
            </w: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呼吸系统防护：空气中浓度超标时，应该佩戴过滤式防毒面具（半面罩）。</w:t>
            </w: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眼睛防护：戴化学安全防护眼镜。身体防护：穿防静电工作服。</w:t>
            </w:r>
          </w:p>
          <w:p>
            <w:pPr>
              <w:tabs>
                <w:tab w:val="center" w:pos="3227"/>
              </w:tabs>
              <w:snapToGrid w:val="0"/>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bCs/>
                <w:sz w:val="21"/>
                <w:szCs w:val="21"/>
              </w:rPr>
              <w:t>手防护：戴一般作业防护手套。</w:t>
            </w:r>
            <w:r>
              <w:rPr>
                <w:rFonts w:hint="eastAsia" w:asciiTheme="minorEastAsia" w:hAnsiTheme="minorEastAsia" w:eastAsiaTheme="minorEastAsia"/>
                <w:bCs/>
                <w:sz w:val="21"/>
                <w:szCs w:val="21"/>
              </w:rPr>
              <w:tab/>
            </w:r>
            <w:r>
              <w:rPr>
                <w:rFonts w:asciiTheme="minorEastAsia" w:hAnsiTheme="minorEastAsia" w:eastAsiaTheme="minorEastAsia"/>
                <w:bCs/>
                <w:sz w:val="21"/>
                <w:szCs w:val="21"/>
              </w:rPr>
              <w:t>其他防护：工作现场严禁吸烟。保持良好的卫生习惯。</w:t>
            </w:r>
          </w:p>
        </w:tc>
      </w:tr>
    </w:tbl>
    <w:p>
      <w:pPr>
        <w:tabs>
          <w:tab w:val="left" w:pos="2715"/>
          <w:tab w:val="center" w:pos="4535"/>
        </w:tabs>
        <w:snapToGrid w:val="0"/>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 xml:space="preserve">                   </w:t>
      </w:r>
    </w:p>
    <w:p>
      <w:pPr>
        <w:tabs>
          <w:tab w:val="left" w:pos="2715"/>
          <w:tab w:val="center" w:pos="4535"/>
        </w:tabs>
        <w:snapToGrid w:val="0"/>
        <w:spacing w:before="0" w:beforeLines="0" w:line="280" w:lineRule="exact"/>
        <w:ind w:firstLine="3360" w:firstLineChars="1600"/>
        <w:rPr>
          <w:rFonts w:asciiTheme="minorEastAsia" w:hAnsiTheme="minorEastAsia" w:eastAsiaTheme="minorEastAsia"/>
          <w:sz w:val="21"/>
          <w:szCs w:val="21"/>
        </w:rPr>
      </w:pPr>
      <w:r>
        <w:rPr>
          <w:rFonts w:hint="eastAsia" w:asciiTheme="minorEastAsia" w:hAnsiTheme="minorEastAsia" w:eastAsiaTheme="minorEastAsia"/>
          <w:sz w:val="21"/>
          <w:szCs w:val="21"/>
        </w:rPr>
        <w:t>正丁烷理化性质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1197"/>
        <w:gridCol w:w="425"/>
        <w:gridCol w:w="1368"/>
        <w:gridCol w:w="352"/>
        <w:gridCol w:w="315"/>
        <w:gridCol w:w="1735"/>
        <w:gridCol w:w="2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理化</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性质</w:t>
            </w: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外观与性状</w:t>
            </w:r>
          </w:p>
        </w:tc>
        <w:tc>
          <w:tcPr>
            <w:tcW w:w="6373"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无色</w:t>
            </w:r>
            <w:r>
              <w:rPr>
                <w:rFonts w:hint="eastAsia" w:asciiTheme="minorEastAsia" w:hAnsiTheme="minorEastAsia" w:eastAsiaTheme="minorEastAsia"/>
                <w:sz w:val="21"/>
                <w:szCs w:val="21"/>
              </w:rPr>
              <w:t>气体，有轻微不愉快气味</w:t>
            </w:r>
            <w:r>
              <w:rPr>
                <w:rFonts w:asciiTheme="minorEastAsia" w:hAnsiTheme="minorEastAsia" w:eastAsia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成分</w:t>
            </w:r>
          </w:p>
        </w:tc>
        <w:tc>
          <w:tcPr>
            <w:tcW w:w="6373"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正丁烷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燃烧热（kJ/mol）</w:t>
            </w:r>
          </w:p>
        </w:tc>
        <w:tc>
          <w:tcPr>
            <w:tcW w:w="1720" w:type="dxa"/>
            <w:gridSpan w:val="2"/>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26</w:t>
            </w:r>
            <w:r>
              <w:rPr>
                <w:rFonts w:hint="eastAsia" w:asciiTheme="minorEastAsia" w:hAnsiTheme="minorEastAsia" w:eastAsiaTheme="minorEastAsia"/>
                <w:sz w:val="21"/>
                <w:szCs w:val="21"/>
              </w:rPr>
              <w:t>53</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相对密度（水=1）</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0.</w:t>
            </w:r>
            <w:r>
              <w:rPr>
                <w:rFonts w:hint="eastAsia" w:asciiTheme="minorEastAsia" w:hAnsiTheme="minorEastAsia" w:eastAsiaTheme="minorEastAsia"/>
                <w:sz w:val="21"/>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720" w:type="dxa"/>
            <w:gridSpan w:val="2"/>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相对密度（空气=1）</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燃烧性</w:t>
            </w:r>
          </w:p>
        </w:tc>
        <w:tc>
          <w:tcPr>
            <w:tcW w:w="172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易燃</w:t>
            </w:r>
            <w:r>
              <w:rPr>
                <w:rFonts w:hint="eastAsia" w:asciiTheme="minorEastAsia" w:hAnsiTheme="minorEastAsia" w:eastAsiaTheme="minorEastAsia"/>
                <w:sz w:val="21"/>
                <w:szCs w:val="21"/>
              </w:rPr>
              <w:t>气体</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建规火险性分级</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闪点（</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172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爆炸极限%（V/V）</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1.5</w:t>
            </w:r>
            <w:r>
              <w:rPr>
                <w:rFonts w:asciiTheme="minorEastAsia" w:hAnsiTheme="minorEastAsia" w:eastAsiaTheme="minorEastAsia"/>
                <w:sz w:val="21"/>
                <w:szCs w:val="21"/>
              </w:rPr>
              <w:t>～8.</w:t>
            </w:r>
            <w:r>
              <w:rPr>
                <w:rFonts w:hint="eastAsia" w:asciiTheme="minorEastAsia" w:hAnsiTheme="minorEastAsia" w:eastAsiaTheme="minorEastAsia"/>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引燃温度</w:t>
            </w:r>
            <w:r>
              <w:rPr>
                <w:rFonts w:asciiTheme="minorEastAsia" w:hAnsiTheme="minorEastAsia" w:eastAsiaTheme="minorEastAsia"/>
                <w:sz w:val="21"/>
                <w:szCs w:val="21"/>
              </w:rPr>
              <w:t>（</w:t>
            </w:r>
            <w:r>
              <w:rPr>
                <w:rFonts w:hint="eastAsia" w:asciiTheme="minorEastAsia" w:hAnsiTheme="minorEastAsia" w:eastAsiaTheme="minorEastAsia"/>
                <w:sz w:val="21"/>
                <w:szCs w:val="21"/>
              </w:rPr>
              <w:t>℃</w:t>
            </w:r>
            <w:r>
              <w:rPr>
                <w:rFonts w:asciiTheme="minorEastAsia" w:hAnsiTheme="minorEastAsia" w:eastAsiaTheme="minorEastAsia"/>
                <w:sz w:val="21"/>
                <w:szCs w:val="21"/>
              </w:rPr>
              <w:t>）</w:t>
            </w:r>
          </w:p>
        </w:tc>
        <w:tc>
          <w:tcPr>
            <w:tcW w:w="172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287</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燃爆</w:t>
            </w:r>
            <w:r>
              <w:rPr>
                <w:rFonts w:asciiTheme="minorEastAsia" w:hAnsiTheme="minorEastAsia" w:eastAsiaTheme="minorEastAsia"/>
                <w:sz w:val="21"/>
                <w:szCs w:val="21"/>
              </w:rPr>
              <w:t>危险</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本品易燃，具窒息性。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稳定性</w:t>
            </w:r>
          </w:p>
        </w:tc>
        <w:tc>
          <w:tcPr>
            <w:tcW w:w="172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c>
          <w:tcPr>
            <w:tcW w:w="2050"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燃烧分解产物</w:t>
            </w:r>
          </w:p>
        </w:tc>
        <w:tc>
          <w:tcPr>
            <w:tcW w:w="2603"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97"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危险特性</w:t>
            </w:r>
          </w:p>
        </w:tc>
        <w:tc>
          <w:tcPr>
            <w:tcW w:w="6798"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易燃，与空气混合能形成爆作性混合物，遇热源和明火有然烧爆作的危验。与氧化剂族触猛烈反应。气体比空气重，能在较低处扩散到相当远的地方，遇火源会回火回燃。</w:t>
            </w:r>
            <w:r>
              <w:rPr>
                <w:rFonts w:asciiTheme="minorEastAsia" w:hAnsiTheme="minorEastAsia" w:eastAsiaTheme="minorEastAsia"/>
                <w:sz w:val="21"/>
                <w:szCs w:val="21"/>
              </w:rPr>
              <w:t>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97"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灭火方法</w:t>
            </w:r>
          </w:p>
        </w:tc>
        <w:tc>
          <w:tcPr>
            <w:tcW w:w="6798"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切断气源。若不能切断气源，则不允许熄灭泄扁处的火焰。喷水冷却容器，可能的话将容器从火场移至空旷处。灭火剂：雾状水、泡沫、二氧化碳、干粉。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97"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应急措施</w:t>
            </w:r>
          </w:p>
        </w:tc>
        <w:tc>
          <w:tcPr>
            <w:tcW w:w="6798"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迅速撤离泄漏污染区人员至安全区，并进行隔离，严格限制出入。切断火源。建议应急处理人员戴自给正压式呼吸器，穿防静电工作服。尽可能切断泄漏源。</w:t>
            </w:r>
            <w:r>
              <w:rPr>
                <w:rFonts w:hint="eastAsia" w:asciiTheme="minorEastAsia" w:hAnsiTheme="minorEastAsia" w:eastAsiaTheme="minorEastAsia"/>
                <w:sz w:val="21"/>
                <w:szCs w:val="21"/>
              </w:rPr>
              <w:t>用工业覆盖层或吸附/吸收剂盖住泄漏点附近等地方，防止气体进入。合理通风，加速扩散，喷雾状水稀释</w:t>
            </w:r>
            <w:r>
              <w:rPr>
                <w:rFonts w:asciiTheme="minorEastAsia" w:hAnsiTheme="minorEastAsia" w:eastAsiaTheme="minorEastAsia"/>
                <w:sz w:val="21"/>
                <w:szCs w:val="21"/>
              </w:rPr>
              <w:t>、</w:t>
            </w:r>
            <w:r>
              <w:rPr>
                <w:rFonts w:hint="eastAsia" w:asciiTheme="minorEastAsia" w:hAnsiTheme="minorEastAsia" w:eastAsiaTheme="minorEastAsia"/>
                <w:sz w:val="21"/>
                <w:szCs w:val="21"/>
              </w:rPr>
              <w:t>溶解。构筑</w:t>
            </w:r>
            <w:r>
              <w:rPr>
                <w:rFonts w:asciiTheme="minorEastAsia" w:hAnsiTheme="minorEastAsia" w:eastAsiaTheme="minorEastAsia"/>
                <w:sz w:val="21"/>
                <w:szCs w:val="21"/>
              </w:rPr>
              <w:t>围堤或挖坑收容</w:t>
            </w:r>
            <w:r>
              <w:rPr>
                <w:rFonts w:hint="eastAsia" w:asciiTheme="minorEastAsia" w:hAnsiTheme="minorEastAsia" w:eastAsiaTheme="minorEastAsia"/>
                <w:sz w:val="21"/>
                <w:szCs w:val="21"/>
              </w:rPr>
              <w:t>产生的大量废水</w:t>
            </w:r>
            <w:r>
              <w:rPr>
                <w:rFonts w:asciiTheme="minorEastAsia" w:hAnsiTheme="minorEastAsia" w:eastAsiaTheme="minorEastAsia"/>
                <w:sz w:val="21"/>
                <w:szCs w:val="21"/>
              </w:rPr>
              <w:t>。</w:t>
            </w:r>
            <w:r>
              <w:rPr>
                <w:rFonts w:hint="eastAsia" w:asciiTheme="minorEastAsia" w:hAnsiTheme="minorEastAsia" w:eastAsiaTheme="minorEastAsia"/>
                <w:sz w:val="21"/>
                <w:szCs w:val="21"/>
              </w:rPr>
              <w:t>如有可能，将泄漏气体用排风机送至空旷地方或适当喷头烧掉。漏气容器要妥善处理，修复、检验后在用。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0" w:hRule="atLeast"/>
          <w:jc w:val="center"/>
        </w:trPr>
        <w:tc>
          <w:tcPr>
            <w:tcW w:w="892"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包装储存运输要求</w:t>
            </w:r>
          </w:p>
        </w:tc>
        <w:tc>
          <w:tcPr>
            <w:tcW w:w="7995" w:type="dxa"/>
            <w:gridSpan w:val="7"/>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w:t>
            </w:r>
            <w:r>
              <w:rPr>
                <w:rFonts w:hint="eastAsia" w:asciiTheme="minorEastAsia" w:hAnsiTheme="minorEastAsia" w:eastAsiaTheme="minorEastAsia"/>
                <w:sz w:val="21"/>
                <w:szCs w:val="21"/>
              </w:rPr>
              <w:t>类别：052</w:t>
            </w:r>
          </w:p>
          <w:p>
            <w:pPr>
              <w:pStyle w:val="32"/>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包装方法：钢质气瓶。按颈瓶外普通木箱。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储存注意事项：储存于阴凉、通风的库房。远离火种、热源。库温不宜超过30℃。</w:t>
            </w:r>
            <w:r>
              <w:rPr>
                <w:rFonts w:hint="eastAsia" w:asciiTheme="minorEastAsia" w:hAnsiTheme="minorEastAsia" w:eastAsiaTheme="minorEastAsia"/>
                <w:sz w:val="21"/>
                <w:szCs w:val="21"/>
              </w:rPr>
              <w:t>相对湿度不大于80%。避免于</w:t>
            </w:r>
            <w:r>
              <w:rPr>
                <w:rFonts w:asciiTheme="minorEastAsia" w:hAnsiTheme="minorEastAsia" w:eastAsiaTheme="minorEastAsia"/>
                <w:sz w:val="21"/>
                <w:szCs w:val="21"/>
              </w:rPr>
              <w:t>氧化剂、</w:t>
            </w:r>
            <w:r>
              <w:rPr>
                <w:rFonts w:hint="eastAsia" w:asciiTheme="minorEastAsia" w:hAnsiTheme="minorEastAsia" w:eastAsiaTheme="minorEastAsia"/>
                <w:sz w:val="21"/>
                <w:szCs w:val="21"/>
              </w:rPr>
              <w:t>卤素接触。</w:t>
            </w:r>
            <w:r>
              <w:rPr>
                <w:rFonts w:asciiTheme="minorEastAsia" w:hAnsiTheme="minorEastAsia" w:eastAsiaTheme="minorEastAsia"/>
                <w:sz w:val="21"/>
                <w:szCs w:val="21"/>
              </w:rPr>
              <w:t>切忌混储。采用防爆型照明、通风设施。禁止使用易产生火花的机械设备和工具。储区应备有泄漏应急处理设备和合适的收容材料。</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运输注意事项：</w:t>
            </w:r>
            <w:r>
              <w:rPr>
                <w:rFonts w:hint="eastAsia" w:asciiTheme="minorEastAsia" w:hAnsiTheme="minorEastAsia" w:eastAsiaTheme="minorEastAsia"/>
                <w:sz w:val="21"/>
                <w:szCs w:val="21"/>
              </w:rPr>
              <w:t>本品铁路运输时限使用时使用耐压液化气企业自备罐车装运，装运前需报有关部门批准。采用钢瓶，运时必须戴好钢瓶上的安全帽。初瓶一般平放，并应将瓶口朝同一方问，不可交又，高度不得超过车辆的防护栏板，并用三角木垫卡牢，防止滚动。运输时，车辆应配备相应品种和数量的消防器材。装运该物品的车辆排气管必须配备阻火装置，禁止使用易产生火花的机械设备和工具装卸。严禁与氧化剂、卤素等混装混运</w:t>
            </w:r>
            <w:r>
              <w:rPr>
                <w:rFonts w:hint="eastAsia" w:ascii="MS Gothic" w:hAnsi="MS Gothic" w:eastAsia="MS Gothic" w:cs="MS Gothic"/>
                <w:sz w:val="21"/>
                <w:szCs w:val="21"/>
              </w:rPr>
              <w:t>・</w:t>
            </w:r>
            <w:r>
              <w:rPr>
                <w:rFonts w:hint="eastAsia" w:asciiTheme="minorEastAsia" w:hAnsiTheme="minorEastAsia" w:eastAsiaTheme="minorEastAsia"/>
                <w:sz w:val="21"/>
                <w:szCs w:val="21"/>
              </w:rPr>
              <w:t>夏季应早晚运論，防止日光曝晒。中途停留时应远离火种、热源。公路运时要规定路行驶，勿在国民区和人口区停稠密区停留。铁路运输时要禁止溜放。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毒性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及健</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康危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害</w:t>
            </w: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接触限值</w:t>
            </w:r>
          </w:p>
        </w:tc>
        <w:tc>
          <w:tcPr>
            <w:tcW w:w="6373"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中国MAC（mg/m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 xml:space="preserve">）：未制定标准 </w:t>
            </w:r>
            <w:r>
              <w:rPr>
                <w:rFonts w:hint="eastAsia" w:asciiTheme="minorEastAsia" w:hAnsiTheme="minorEastAsia" w:eastAsiaTheme="minorEastAsia"/>
                <w:sz w:val="21"/>
                <w:szCs w:val="21"/>
              </w:rPr>
              <w:t>前苏联</w:t>
            </w:r>
            <w:r>
              <w:rPr>
                <w:rFonts w:asciiTheme="minorEastAsia" w:hAnsiTheme="minorEastAsia" w:eastAsiaTheme="minorEastAsia"/>
                <w:sz w:val="21"/>
                <w:szCs w:val="21"/>
              </w:rPr>
              <w:t>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w:t>
            </w:r>
            <w:r>
              <w:rPr>
                <w:rFonts w:hint="eastAsia" w:asciiTheme="minorEastAsia" w:hAnsiTheme="minorEastAsia" w:eastAsiaTheme="minorEastAsia"/>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侵入途径</w:t>
            </w:r>
          </w:p>
        </w:tc>
        <w:tc>
          <w:tcPr>
            <w:tcW w:w="1368" w:type="dxa"/>
            <w:vAlign w:val="center"/>
          </w:tcPr>
          <w:p>
            <w:pPr>
              <w:spacing w:before="0" w:beforeLines="0" w:line="280" w:lineRule="exact"/>
              <w:ind w:firstLine="0" w:firstLineChars="0"/>
              <w:rPr>
                <w:rFonts w:asciiTheme="minorEastAsia" w:hAnsiTheme="minorEastAsia" w:eastAsiaTheme="minorEastAsia"/>
                <w:sz w:val="21"/>
                <w:szCs w:val="21"/>
              </w:rPr>
            </w:pPr>
          </w:p>
        </w:tc>
        <w:tc>
          <w:tcPr>
            <w:tcW w:w="667"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危害</w:t>
            </w:r>
          </w:p>
        </w:tc>
        <w:tc>
          <w:tcPr>
            <w:tcW w:w="4338" w:type="dxa"/>
            <w:gridSpan w:val="2"/>
            <w:vAlign w:val="center"/>
          </w:tcPr>
          <w:p>
            <w:pPr>
              <w:spacing w:before="0" w:beforeLines="0" w:line="280" w:lineRule="exact"/>
              <w:ind w:firstLine="0" w:firstLineChars="0"/>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健康危害</w:t>
            </w:r>
          </w:p>
        </w:tc>
        <w:tc>
          <w:tcPr>
            <w:tcW w:w="6373"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高浓度有窒息和麻醉作用。急性中毒：主要症状有头晕、头痛、嗜睡和酒醉状态。严重者可昏迷；慢性影响：接触丁烷为主的工人有头晕、头痛、睡眠不佳、疲倦等。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56" w:hRule="atLeast"/>
          <w:jc w:val="center"/>
        </w:trPr>
        <w:tc>
          <w:tcPr>
            <w:tcW w:w="892"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622" w:type="dxa"/>
            <w:gridSpan w:val="2"/>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防护措施</w:t>
            </w:r>
          </w:p>
        </w:tc>
        <w:tc>
          <w:tcPr>
            <w:tcW w:w="6373" w:type="dxa"/>
            <w:gridSpan w:val="5"/>
            <w:vAlign w:val="center"/>
          </w:tcPr>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工程控制：生产过程密闭，全面通风。呼吸系统防护：</w:t>
            </w:r>
            <w:r>
              <w:rPr>
                <w:rFonts w:hint="eastAsia" w:asciiTheme="minorEastAsia" w:hAnsiTheme="minorEastAsia" w:eastAsiaTheme="minorEastAsia"/>
                <w:bCs/>
                <w:sz w:val="21"/>
                <w:szCs w:val="21"/>
              </w:rPr>
              <w:t>一般不需要特殊防护，但建议特殊情况下，佩戴自过滤式</w:t>
            </w:r>
            <w:r>
              <w:rPr>
                <w:rFonts w:asciiTheme="minorEastAsia" w:hAnsiTheme="minorEastAsia" w:eastAsiaTheme="minorEastAsia"/>
                <w:bCs/>
                <w:sz w:val="21"/>
                <w:szCs w:val="21"/>
              </w:rPr>
              <w:t>防毒面具（半面罩）。</w:t>
            </w:r>
          </w:p>
          <w:p>
            <w:pPr>
              <w:snapToGrid w:val="0"/>
              <w:spacing w:before="0" w:beforeLines="0" w:line="280" w:lineRule="exact"/>
              <w:ind w:firstLine="0" w:firstLineChars="0"/>
              <w:rPr>
                <w:rFonts w:asciiTheme="minorEastAsia" w:hAnsiTheme="minorEastAsia" w:eastAsiaTheme="minorEastAsia"/>
                <w:bCs/>
                <w:sz w:val="21"/>
                <w:szCs w:val="21"/>
              </w:rPr>
            </w:pPr>
            <w:r>
              <w:rPr>
                <w:rFonts w:hint="eastAsia" w:asciiTheme="minorEastAsia" w:hAnsiTheme="minorEastAsia" w:eastAsiaTheme="minorEastAsia"/>
                <w:bCs/>
                <w:sz w:val="21"/>
                <w:szCs w:val="21"/>
              </w:rPr>
              <w:t>眼睛防护：一般不需要特殊防护，高浓度接触时可戴化学防护眼镜</w:t>
            </w:r>
            <w:r>
              <w:rPr>
                <w:rFonts w:asciiTheme="minorEastAsia" w:hAnsiTheme="minorEastAsia" w:eastAsiaTheme="minorEastAsia"/>
                <w:bCs/>
                <w:sz w:val="21"/>
                <w:szCs w:val="21"/>
              </w:rPr>
              <w:t>身体防护：穿防静电工作服。</w:t>
            </w: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手防护：戴一般作业防护手套。</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bCs/>
                <w:sz w:val="21"/>
                <w:szCs w:val="21"/>
              </w:rPr>
              <w:t>其他防护：工作现场严禁吸烟。</w:t>
            </w:r>
            <w:r>
              <w:rPr>
                <w:rFonts w:hint="eastAsia" w:asciiTheme="minorEastAsia" w:hAnsiTheme="minorEastAsia" w:eastAsiaTheme="minorEastAsia"/>
                <w:bCs/>
                <w:sz w:val="21"/>
                <w:szCs w:val="21"/>
              </w:rPr>
              <w:t>避免长期反复接触。进入罐、限制性空间或其他高浓度区作业须有人监护。</w:t>
            </w:r>
          </w:p>
        </w:tc>
      </w:tr>
    </w:tbl>
    <w:p>
      <w:pPr>
        <w:tabs>
          <w:tab w:val="left" w:pos="2715"/>
          <w:tab w:val="center" w:pos="4535"/>
        </w:tabs>
        <w:snapToGrid w:val="0"/>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二氧化硫理化性质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140"/>
        <w:gridCol w:w="718"/>
        <w:gridCol w:w="700"/>
        <w:gridCol w:w="784"/>
        <w:gridCol w:w="2050"/>
        <w:gridCol w:w="2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理化</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质</w:t>
            </w: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外观与性状</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无色</w:t>
            </w:r>
            <w:r>
              <w:rPr>
                <w:rFonts w:hint="eastAsia" w:asciiTheme="minorEastAsia" w:hAnsiTheme="minorEastAsia" w:eastAsiaTheme="minorEastAsia"/>
                <w:sz w:val="21"/>
                <w:szCs w:val="21"/>
              </w:rPr>
              <w:t>气体，特臭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成分</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二氧化硫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燃烧热（kJ/mol）</w:t>
            </w:r>
          </w:p>
        </w:tc>
        <w:tc>
          <w:tcPr>
            <w:tcW w:w="2202" w:type="dxa"/>
            <w:gridSpan w:val="3"/>
            <w:vMerge w:val="restart"/>
            <w:vAlign w:val="center"/>
          </w:tcPr>
          <w:p>
            <w:pPr>
              <w:spacing w:before="0" w:beforeLines="0" w:line="280" w:lineRule="exact"/>
              <w:ind w:firstLine="0" w:firstLineChars="0"/>
              <w:rPr>
                <w:rFonts w:asciiTheme="minorEastAsia" w:hAnsiTheme="minorEastAsia" w:eastAsiaTheme="minorEastAsia"/>
                <w:sz w:val="21"/>
                <w:szCs w:val="21"/>
              </w:rPr>
            </w:pPr>
          </w:p>
        </w:tc>
        <w:tc>
          <w:tcPr>
            <w:tcW w:w="205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相对密度（水=1）</w:t>
            </w:r>
          </w:p>
        </w:tc>
        <w:tc>
          <w:tcPr>
            <w:tcW w:w="296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202" w:type="dxa"/>
            <w:gridSpan w:val="3"/>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205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相对密度（空气=1）</w:t>
            </w:r>
          </w:p>
        </w:tc>
        <w:tc>
          <w:tcPr>
            <w:tcW w:w="296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爆炸</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性</w:t>
            </w: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燃烧性</w:t>
            </w:r>
          </w:p>
        </w:tc>
        <w:tc>
          <w:tcPr>
            <w:tcW w:w="2202"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本品不燃</w:t>
            </w:r>
          </w:p>
        </w:tc>
        <w:tc>
          <w:tcPr>
            <w:tcW w:w="205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建规火险性分级</w:t>
            </w:r>
          </w:p>
        </w:tc>
        <w:tc>
          <w:tcPr>
            <w:tcW w:w="2964" w:type="dxa"/>
            <w:vAlign w:val="center"/>
          </w:tcPr>
          <w:p>
            <w:pPr>
              <w:spacing w:before="0" w:beforeLines="0" w:line="280" w:lineRule="exact"/>
              <w:ind w:firstLine="0" w:firstLineChars="0"/>
              <w:rPr>
                <w:rFonts w:asciiTheme="minorEastAsia" w:hAnsiTheme="minorEastAsia"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燃烧分解产物</w:t>
            </w:r>
          </w:p>
        </w:tc>
        <w:tc>
          <w:tcPr>
            <w:tcW w:w="2202"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氧化硫。</w:t>
            </w:r>
          </w:p>
        </w:tc>
        <w:tc>
          <w:tcPr>
            <w:tcW w:w="2050"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燃爆</w:t>
            </w:r>
            <w:r>
              <w:rPr>
                <w:rFonts w:asciiTheme="minorEastAsia" w:hAnsiTheme="minorEastAsia" w:eastAsiaTheme="minorEastAsia"/>
                <w:sz w:val="21"/>
                <w:szCs w:val="21"/>
              </w:rPr>
              <w:t>危险</w:t>
            </w:r>
          </w:p>
        </w:tc>
        <w:tc>
          <w:tcPr>
            <w:tcW w:w="2964"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本品不燃，有毒，具强刺激性。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危险特性</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不燃。若遇高热，容器内压增大，有开裂和爆炸的危险。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灭火方法</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本品不燃。消防人员必须佩戴过滤式防毒面具(全面罩)或隔离式呼吸器、穿全身防火防毒服，在上风向灭火。切断气源。喷水冷却容器，可能的话将容器从火场移至空旷处。灭火剂：雾状水、泡沫、二氧化碳。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应急措施</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迅速撤离泄漏污染区人员至上风处，并立即进行隔离，小泄漏时隔离150m，大泄漏时隔离450m，严格限制出入。建议应急处理人员戴自给正压式呼吸器，穿防毒服。从上风处进入现场。尽可能切断泄漏源。用工业覆盖层或吸附/ 吸收剂盖住泄漏点附近的下水道等地方，防止气体进入。合理通风，加速扩散。喷雾状水稀释、溶解。构筑围堤或挖坑收容产生的大量废水。如有可能，用一捉捕器使气体通过次氯酸钠溶液。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操作</w:t>
            </w:r>
            <w:r>
              <w:rPr>
                <w:rFonts w:asciiTheme="minorEastAsia" w:hAnsiTheme="minorEastAsia" w:eastAsiaTheme="minorEastAsia"/>
                <w:sz w:val="21"/>
                <w:szCs w:val="21"/>
              </w:rPr>
              <w:t>要求</w:t>
            </w:r>
          </w:p>
        </w:tc>
        <w:tc>
          <w:tcPr>
            <w:tcW w:w="8356" w:type="dxa"/>
            <w:gridSpan w:val="6"/>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包装</w:t>
            </w:r>
            <w:r>
              <w:rPr>
                <w:rFonts w:hint="eastAsia" w:asciiTheme="minorEastAsia" w:hAnsiTheme="minorEastAsia" w:eastAsiaTheme="minorEastAsia"/>
                <w:sz w:val="21"/>
                <w:szCs w:val="21"/>
              </w:rPr>
              <w:t>类别：052</w:t>
            </w:r>
          </w:p>
          <w:p>
            <w:pPr>
              <w:pStyle w:val="32"/>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包装方法：钢质气瓶。按颈瓶外普通木箱。</w:t>
            </w:r>
          </w:p>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操作注意事项：严加密闭，提供充分的局部排风和全面通风。操作人员必须经过专门培训，严格遵守操作规程。建议操作人员佩戴自吸过滤式防毒面具（全面罩），穿聚乙烯防毒服，戴橡胶手套。远离易燃、可燃物。防止气体泄漏到工作场所空气中。避免与氧化剂、还原剂接触。搬运时轻装轻卸，防止钢瓶及附件破损。配备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restart"/>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毒性</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及健</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康危</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害</w:t>
            </w: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接触限值</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中国MAC（mg/m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w:t>
            </w:r>
            <w:r>
              <w:rPr>
                <w:rFonts w:hint="eastAsia" w:asciiTheme="minorEastAsia" w:hAnsiTheme="minorEastAsia" w:eastAsiaTheme="minorEastAsia"/>
                <w:sz w:val="21"/>
                <w:szCs w:val="21"/>
              </w:rPr>
              <w:t>15</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前苏联</w:t>
            </w:r>
            <w:r>
              <w:rPr>
                <w:rFonts w:asciiTheme="minorEastAsia" w:hAnsiTheme="minorEastAsia" w:eastAsiaTheme="minorEastAsia"/>
                <w:sz w:val="21"/>
                <w:szCs w:val="21"/>
              </w:rPr>
              <w:t>MAC（mg/m</w:t>
            </w:r>
            <w:r>
              <w:rPr>
                <w:rFonts w:asciiTheme="minorEastAsia" w:hAnsiTheme="minorEastAsia" w:eastAsiaTheme="minorEastAsia"/>
                <w:sz w:val="21"/>
                <w:szCs w:val="21"/>
                <w:vertAlign w:val="superscript"/>
              </w:rPr>
              <w:t>3</w:t>
            </w:r>
            <w:r>
              <w:rPr>
                <w:rFonts w:asciiTheme="minorEastAsia" w:hAnsiTheme="minorEastAsia" w:eastAsiaTheme="minorEastAsia"/>
                <w:sz w:val="21"/>
                <w:szCs w:val="21"/>
              </w:rPr>
              <w:t>）：</w:t>
            </w:r>
            <w:r>
              <w:rPr>
                <w:rFonts w:hint="eastAsia" w:asciiTheme="minorEastAsia" w:hAnsiTheme="minorEastAsia" w:eastAsiaTheme="minorEastAsia"/>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急性毒性</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LC50：6600mg/m3，1小时(大鼠吸入)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侵入途径</w:t>
            </w:r>
          </w:p>
        </w:tc>
        <w:tc>
          <w:tcPr>
            <w:tcW w:w="718" w:type="dxa"/>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吸入</w:t>
            </w:r>
          </w:p>
        </w:tc>
        <w:tc>
          <w:tcPr>
            <w:tcW w:w="70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危害</w:t>
            </w:r>
          </w:p>
        </w:tc>
        <w:tc>
          <w:tcPr>
            <w:tcW w:w="5798" w:type="dxa"/>
            <w:gridSpan w:val="3"/>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该物质可严重污染大气，由其形成的酸雨对植物的危害尤为严重。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健康危害</w:t>
            </w:r>
          </w:p>
        </w:tc>
        <w:tc>
          <w:tcPr>
            <w:tcW w:w="7216" w:type="dxa"/>
            <w:gridSpan w:val="5"/>
            <w:vAlign w:val="center"/>
          </w:tcPr>
          <w:p>
            <w:pPr>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易被湿润的粘膜表面吸收生成亚硫酸、硫酸。对眼及呼吸道粘膜有强烈的刺激作用。大量吸入可引起肺水肿、喉水肿、声带痉挛而致窒息。急性中毒：轻度中毒时，发生流泪、畏光、咳嗽，咽、喉灼痛等；严重中毒可在数小时内发生肺水肿；极高浓度吸入可引起反射性声门痉挛而致窒息。皮肤或眼接触发生炎症或灼伤。慢性影响：长期低浓度接触，可有头痛、头昏、乏力等全身症状以及慢性鼻炎、咽喉炎、支气管炎、嗅觉及味觉减退等。少数工人有牙齿酸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0" w:type="dxa"/>
            <w:vMerge w:val="continue"/>
            <w:vAlign w:val="center"/>
          </w:tcPr>
          <w:p>
            <w:pPr>
              <w:spacing w:before="0" w:beforeLines="0" w:line="280" w:lineRule="exact"/>
              <w:ind w:firstLine="0" w:firstLineChars="0"/>
              <w:rPr>
                <w:rFonts w:asciiTheme="minorEastAsia" w:hAnsiTheme="minorEastAsia" w:eastAsiaTheme="minorEastAsia"/>
                <w:sz w:val="21"/>
                <w:szCs w:val="21"/>
              </w:rPr>
            </w:pPr>
          </w:p>
        </w:tc>
        <w:tc>
          <w:tcPr>
            <w:tcW w:w="1140" w:type="dxa"/>
            <w:vAlign w:val="center"/>
          </w:tcPr>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sz w:val="21"/>
                <w:szCs w:val="21"/>
              </w:rPr>
              <w:t>防护措施</w:t>
            </w:r>
          </w:p>
        </w:tc>
        <w:tc>
          <w:tcPr>
            <w:tcW w:w="7216" w:type="dxa"/>
            <w:gridSpan w:val="5"/>
            <w:vAlign w:val="center"/>
          </w:tcPr>
          <w:p>
            <w:pPr>
              <w:snapToGrid w:val="0"/>
              <w:spacing w:before="0" w:beforeLines="0" w:line="280" w:lineRule="exact"/>
              <w:ind w:firstLine="0" w:firstLineChars="0"/>
              <w:rPr>
                <w:rFonts w:asciiTheme="minorEastAsia" w:hAnsiTheme="minorEastAsia" w:eastAsiaTheme="minorEastAsia"/>
                <w:bCs/>
                <w:sz w:val="21"/>
                <w:szCs w:val="21"/>
              </w:rPr>
            </w:pP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工程控制：</w:t>
            </w:r>
            <w:r>
              <w:rPr>
                <w:rFonts w:hint="eastAsia" w:asciiTheme="minorEastAsia" w:hAnsiTheme="minorEastAsia" w:eastAsiaTheme="minorEastAsia"/>
                <w:bCs/>
                <w:sz w:val="21"/>
                <w:szCs w:val="21"/>
              </w:rPr>
              <w:t>严加密闭，提供充分的局部排风和全面通风。提供安全淋浴和洗眼设备。</w:t>
            </w:r>
            <w:r>
              <w:rPr>
                <w:rFonts w:asciiTheme="minorEastAsia" w:hAnsiTheme="minorEastAsia" w:eastAsiaTheme="minorEastAsia"/>
                <w:bCs/>
                <w:sz w:val="21"/>
                <w:szCs w:val="21"/>
              </w:rPr>
              <w:t>呼吸系统防护：</w:t>
            </w:r>
            <w:r>
              <w:rPr>
                <w:rFonts w:hint="eastAsia" w:asciiTheme="minorEastAsia" w:hAnsiTheme="minorEastAsia" w:eastAsiaTheme="minorEastAsia"/>
                <w:bCs/>
                <w:sz w:val="21"/>
                <w:szCs w:val="21"/>
              </w:rPr>
              <w:t>空气中浓度超标时，佩戴自吸过滤式防毒面具（全面罩）。紧急事态抢救或撤离时，建议佩戴正压自给式呼吸器。</w:t>
            </w:r>
          </w:p>
          <w:p>
            <w:pPr>
              <w:snapToGrid w:val="0"/>
              <w:spacing w:before="0" w:beforeLines="0" w:line="280" w:lineRule="exact"/>
              <w:ind w:firstLine="0" w:firstLineChars="0"/>
              <w:rPr>
                <w:rFonts w:asciiTheme="minorEastAsia" w:hAnsiTheme="minorEastAsia" w:eastAsiaTheme="minorEastAsia"/>
                <w:bCs/>
                <w:sz w:val="21"/>
                <w:szCs w:val="21"/>
              </w:rPr>
            </w:pPr>
            <w:r>
              <w:rPr>
                <w:rFonts w:hint="eastAsia" w:asciiTheme="minorEastAsia" w:hAnsiTheme="minorEastAsia" w:eastAsiaTheme="minorEastAsia"/>
                <w:bCs/>
                <w:sz w:val="21"/>
                <w:szCs w:val="21"/>
              </w:rPr>
              <w:t>眼睛防护：呼吸系统防护中已作防护。</w:t>
            </w: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身体防护：</w:t>
            </w:r>
            <w:r>
              <w:rPr>
                <w:rFonts w:hint="eastAsia" w:asciiTheme="minorEastAsia" w:hAnsiTheme="minorEastAsia" w:eastAsiaTheme="minorEastAsia"/>
                <w:bCs/>
                <w:sz w:val="21"/>
                <w:szCs w:val="21"/>
              </w:rPr>
              <w:t>穿聚乙烯防毒服。</w:t>
            </w:r>
          </w:p>
          <w:p>
            <w:pPr>
              <w:snapToGrid w:val="0"/>
              <w:spacing w:before="0" w:beforeLines="0" w:line="280" w:lineRule="exact"/>
              <w:ind w:firstLine="0" w:firstLineChars="0"/>
              <w:rPr>
                <w:rFonts w:asciiTheme="minorEastAsia" w:hAnsiTheme="minorEastAsia" w:eastAsiaTheme="minorEastAsia"/>
                <w:bCs/>
                <w:sz w:val="21"/>
                <w:szCs w:val="21"/>
              </w:rPr>
            </w:pPr>
            <w:r>
              <w:rPr>
                <w:rFonts w:asciiTheme="minorEastAsia" w:hAnsiTheme="minorEastAsia" w:eastAsiaTheme="minorEastAsia"/>
                <w:bCs/>
                <w:sz w:val="21"/>
                <w:szCs w:val="21"/>
              </w:rPr>
              <w:t>手防护：</w:t>
            </w:r>
            <w:r>
              <w:rPr>
                <w:rFonts w:hint="eastAsia" w:asciiTheme="minorEastAsia" w:hAnsiTheme="minorEastAsia" w:eastAsiaTheme="minorEastAsia"/>
                <w:bCs/>
                <w:sz w:val="21"/>
                <w:szCs w:val="21"/>
              </w:rPr>
              <w:t>戴橡胶手套。</w:t>
            </w:r>
          </w:p>
          <w:p>
            <w:pPr>
              <w:spacing w:before="0" w:beforeLines="0" w:line="280" w:lineRule="exact"/>
              <w:ind w:firstLine="0" w:firstLineChars="0"/>
              <w:rPr>
                <w:rFonts w:asciiTheme="minorEastAsia" w:hAnsiTheme="minorEastAsia" w:eastAsiaTheme="minorEastAsia"/>
                <w:sz w:val="21"/>
                <w:szCs w:val="21"/>
              </w:rPr>
            </w:pPr>
            <w:r>
              <w:rPr>
                <w:rFonts w:asciiTheme="minorEastAsia" w:hAnsiTheme="minorEastAsia" w:eastAsiaTheme="minorEastAsia"/>
                <w:bCs/>
                <w:sz w:val="21"/>
                <w:szCs w:val="21"/>
              </w:rPr>
              <w:t>其他防护：</w:t>
            </w:r>
            <w:r>
              <w:rPr>
                <w:rFonts w:hint="eastAsia" w:asciiTheme="minorEastAsia" w:hAnsiTheme="minorEastAsia" w:eastAsiaTheme="minorEastAsia"/>
                <w:bCs/>
                <w:sz w:val="21"/>
                <w:szCs w:val="21"/>
              </w:rPr>
              <w:t>工作现场禁止吸烟、进食和饮水。工作完毕，淋浴更衣。保持良好的卫生习惯。</w:t>
            </w:r>
          </w:p>
        </w:tc>
      </w:tr>
    </w:tbl>
    <w:p>
      <w:pPr>
        <w:pStyle w:val="32"/>
        <w:spacing w:before="0" w:beforeLines="0" w:line="280" w:lineRule="exact"/>
        <w:ind w:firstLine="0" w:firstLineChars="0"/>
        <w:rPr>
          <w:rFonts w:asciiTheme="minorEastAsia" w:hAnsiTheme="minorEastAsia" w:eastAsiaTheme="minorEastAsia"/>
          <w:sz w:val="21"/>
          <w:szCs w:val="21"/>
        </w:rPr>
      </w:pPr>
      <w:r>
        <w:rPr>
          <w:rFonts w:hint="eastAsia" w:asciiTheme="minorEastAsia" w:hAnsiTheme="minorEastAsia" w:eastAsiaTheme="minorEastAsia"/>
          <w:sz w:val="21"/>
          <w:szCs w:val="21"/>
        </w:rPr>
        <w:t xml:space="preserve">                                      </w:t>
      </w:r>
    </w:p>
    <w:p>
      <w:pPr>
        <w:pStyle w:val="32"/>
        <w:spacing w:before="0" w:beforeLines="0" w:line="280" w:lineRule="exact"/>
        <w:ind w:firstLine="2940" w:firstLineChars="1400"/>
        <w:rPr>
          <w:rFonts w:asciiTheme="minorEastAsia" w:hAnsiTheme="minorEastAsia" w:eastAsiaTheme="minorEastAsia"/>
          <w:sz w:val="21"/>
          <w:szCs w:val="21"/>
        </w:rPr>
      </w:pP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乙醇理化性质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498"/>
        <w:gridCol w:w="166"/>
        <w:gridCol w:w="334"/>
        <w:gridCol w:w="168"/>
        <w:gridCol w:w="168"/>
        <w:gridCol w:w="168"/>
        <w:gridCol w:w="168"/>
        <w:gridCol w:w="836"/>
        <w:gridCol w:w="171"/>
        <w:gridCol w:w="332"/>
        <w:gridCol w:w="225"/>
        <w:gridCol w:w="107"/>
        <w:gridCol w:w="340"/>
        <w:gridCol w:w="164"/>
        <w:gridCol w:w="166"/>
        <w:gridCol w:w="168"/>
        <w:gridCol w:w="169"/>
        <w:gridCol w:w="450"/>
        <w:gridCol w:w="50"/>
        <w:gridCol w:w="336"/>
        <w:gridCol w:w="161"/>
        <w:gridCol w:w="169"/>
        <w:gridCol w:w="172"/>
        <w:gridCol w:w="330"/>
        <w:gridCol w:w="170"/>
        <w:gridCol w:w="176"/>
        <w:gridCol w:w="660"/>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017" w:type="dxa"/>
            <w:gridSpan w:val="11"/>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乙醇</w:t>
            </w:r>
          </w:p>
        </w:tc>
        <w:tc>
          <w:tcPr>
            <w:tcW w:w="116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077" w:type="dxa"/>
            <w:gridSpan w:val="9"/>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261" w:type="dxa"/>
            <w:gridSpan w:val="2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02"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83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114</w:t>
            </w:r>
          </w:p>
        </w:tc>
        <w:tc>
          <w:tcPr>
            <w:tcW w:w="1172"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835"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78.3</w:t>
            </w:r>
          </w:p>
        </w:tc>
        <w:tc>
          <w:tcPr>
            <w:tcW w:w="100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16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w:t>
            </w:r>
            <w:r>
              <w:rPr>
                <w:rFonts w:hint="eastAsia" w:asciiTheme="minorEastAsia" w:hAnsiTheme="minorEastAsia" w:eastAsiaTheme="minorEastAsia"/>
                <w:snapToGrid w:val="0"/>
                <w:kern w:val="0"/>
                <w:sz w:val="21"/>
                <w:szCs w:val="21"/>
              </w:rPr>
              <w:t>2</w:t>
            </w:r>
          </w:p>
        </w:tc>
        <w:tc>
          <w:tcPr>
            <w:tcW w:w="150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903"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0.79</w:t>
            </w:r>
          </w:p>
        </w:tc>
        <w:tc>
          <w:tcPr>
            <w:tcW w:w="1170" w:type="dxa"/>
            <w:gridSpan w:val="6"/>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166"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580" w:type="dxa"/>
            <w:gridSpan w:val="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02"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0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507"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w:t>
            </w:r>
            <w:r>
              <w:rPr>
                <w:rFonts w:hint="eastAsia" w:asciiTheme="minorEastAsia" w:hAnsiTheme="minorEastAsia" w:eastAsiaTheme="minorEastAsia"/>
                <w:snapToGrid w:val="0"/>
                <w:kern w:val="0"/>
                <w:sz w:val="21"/>
                <w:szCs w:val="21"/>
              </w:rPr>
              <w:t>59</w:t>
            </w:r>
          </w:p>
        </w:tc>
        <w:tc>
          <w:tcPr>
            <w:tcW w:w="1170" w:type="dxa"/>
            <w:gridSpan w:val="6"/>
            <w:vMerge w:val="continue"/>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166"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580" w:type="dxa"/>
            <w:gridSpan w:val="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0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01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3.3</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19</w:t>
            </w:r>
          </w:p>
        </w:tc>
        <w:tc>
          <w:tcPr>
            <w:tcW w:w="83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080"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10"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72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777"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17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83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0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903"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591" w:type="dxa"/>
            <w:gridSpan w:val="2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3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34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易燃液体</w:t>
            </w:r>
          </w:p>
        </w:tc>
        <w:tc>
          <w:tcPr>
            <w:tcW w:w="2005"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23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7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56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564"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56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563"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51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320</w:t>
            </w:r>
            <w:r>
              <w:rPr>
                <w:rFonts w:hint="eastAsia" w:asciiTheme="minorEastAsia" w:hAnsiTheme="minorEastAsia" w:eastAsiaTheme="minorEastAsia"/>
                <w:snapToGrid w:val="0"/>
                <w:kern w:val="0"/>
                <w:sz w:val="21"/>
                <w:szCs w:val="21"/>
              </w:rPr>
              <w:t>61</w:t>
            </w:r>
          </w:p>
        </w:tc>
        <w:tc>
          <w:tcPr>
            <w:tcW w:w="100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50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1170</w:t>
            </w:r>
          </w:p>
        </w:tc>
        <w:tc>
          <w:tcPr>
            <w:tcW w:w="100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73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6</w:t>
            </w:r>
            <w:r>
              <w:rPr>
                <w:rFonts w:hint="eastAsia" w:asciiTheme="minorEastAsia" w:hAnsiTheme="minorEastAsia" w:eastAsiaTheme="minorEastAsia"/>
                <w:snapToGrid w:val="0"/>
                <w:kern w:val="0"/>
                <w:sz w:val="21"/>
                <w:szCs w:val="21"/>
              </w:rPr>
              <w:t>4</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17</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70"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515"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052</w:t>
            </w:r>
          </w:p>
        </w:tc>
        <w:tc>
          <w:tcPr>
            <w:tcW w:w="150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741"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其蒸汽与空气可形成爆炸性混合物，遇明火、高热能引起燃烧爆炸。与氧化剂接触发生反应或引起燃烧。在火场中，受热的容器有爆炸危险。其蒸汽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尽可能的将容器从火场移至空旷处。喷水冷却容器、直至灭火结束。处在火场中的容器若已变色或从安全泄压装置中产生声音，必须马上撤离</w:t>
            </w:r>
            <w:r>
              <w:rPr>
                <w:rFonts w:hint="eastAsia" w:asciiTheme="minorEastAsia" w:hAnsiTheme="minorEastAsia" w:eastAsiaTheme="minorEastAsia"/>
                <w:snapToGrid w:val="0"/>
                <w:kern w:val="0"/>
                <w:sz w:val="21"/>
                <w:szCs w:val="21"/>
              </w:rPr>
              <w:t>。灭火剂：抗溶泡沫、干粉、二氧化碳、砂土。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hint="eastAsia" w:asciiTheme="minorEastAsia" w:hAnsiTheme="minorEastAsia" w:eastAsiaTheme="minorEastAsia"/>
                <w:snapToGrid w:val="0"/>
                <w:kern w:val="0"/>
                <w:sz w:val="21"/>
                <w:szCs w:val="21"/>
              </w:rPr>
              <w:t>本品为</w:t>
            </w:r>
            <w:r>
              <w:rPr>
                <w:rFonts w:asciiTheme="minorEastAsia" w:hAnsiTheme="minorEastAsia" w:eastAsiaTheme="minorEastAsia"/>
                <w:snapToGrid w:val="0"/>
                <w:kern w:val="0"/>
                <w:sz w:val="21"/>
                <w:szCs w:val="21"/>
              </w:rPr>
              <w:t>中枢神经</w:t>
            </w:r>
            <w:r>
              <w:rPr>
                <w:rFonts w:hint="eastAsia" w:asciiTheme="minorEastAsia" w:hAnsiTheme="minorEastAsia" w:eastAsiaTheme="minorEastAsia"/>
                <w:snapToGrid w:val="0"/>
                <w:kern w:val="0"/>
                <w:sz w:val="21"/>
                <w:szCs w:val="21"/>
              </w:rPr>
              <w:t>抑制剂</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首先引起兴奋，随后抑制，急性中毒</w:t>
            </w:r>
            <w:r>
              <w:rPr>
                <w:rFonts w:asciiTheme="minorEastAsia" w:hAnsiTheme="minorEastAsia" w:eastAsiaTheme="minorEastAsia"/>
                <w:snapToGrid w:val="0"/>
                <w:kern w:val="0"/>
                <w:sz w:val="21"/>
                <w:szCs w:val="21"/>
              </w:rPr>
              <w:t>：</w:t>
            </w:r>
            <w:r>
              <w:rPr>
                <w:rFonts w:hint="eastAsia" w:asciiTheme="minorEastAsia" w:hAnsiTheme="minorEastAsia" w:eastAsiaTheme="minorEastAsia"/>
                <w:snapToGrid w:val="0"/>
                <w:kern w:val="0"/>
                <w:sz w:val="21"/>
                <w:szCs w:val="21"/>
              </w:rPr>
              <w:t>多发生口服，一般为兴奋、催眠、麻醉、窒息四阶段，患者进入第三或第四阶段进入意识丧失，瞳孔放大，呼吸不规律，休克，心力循环衰竭。慢性影响：鼻、眼粘膜刺激。以及头痛、头晕、疲乏、易激动、恶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速撤离泄漏污染区人员至安全处，并进行隔离，严格限制出入。切断火源。建议应急处理人员戴自给正压式呼吸器，穿防静电工作服。 不要直接接触泄漏物。尽可能切断泄漏源。防止流入下水道、排洪沟等限制性空间。小量泄漏：用砂土或其它不燃材料吸附或吸收。也可用大量水冲洗，洗水稀释后放入废水系统。大量泄漏：构筑围堤或挖坑收容。用泡沫覆盖，降低蒸汽危害。用防爆泵转移至槽车或专用收集器内，回收或运至废物处理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加强通风。操作人员必须经过专门培训，严格遵守操作规程。建议操作人员佩戴自吸过滤式放毒面具，戴化学安全防护眼镜，穿防静电工作服，戴橡胶手套。远离火种、热源，工作场所严禁吸烟。使用防爆型的通风系统和设备。防止蒸汽泄漏到工作场所空气中。避免与氧化剂、酸类、碱金属接触 。灌装时应控制流速，且有接地装置，防止静电积聚。 配备相应品种和数量的消防器材及泄漏应急处理设备。倒空的容器中可能残留有害物。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7925" w:type="dxa"/>
            <w:gridSpan w:val="28"/>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储存于阴凉、通风的库房内。远离火种、热源 。库温不超过30</w:t>
            </w:r>
            <w:r>
              <w:rPr>
                <w:rFonts w:asciiTheme="minorEastAsia" w:hAnsiTheme="minorEastAsia" w:eastAsiaTheme="minorEastAsia"/>
                <w:snapToGrid w:val="0"/>
                <w:kern w:val="0"/>
                <w:sz w:val="21"/>
                <w:szCs w:val="21"/>
                <w:vertAlign w:val="superscript"/>
              </w:rPr>
              <w:t>0</w:t>
            </w:r>
            <w:r>
              <w:rPr>
                <w:rFonts w:asciiTheme="minorEastAsia" w:hAnsiTheme="minorEastAsia" w:eastAsiaTheme="minorEastAsia"/>
                <w:snapToGrid w:val="0"/>
                <w:kern w:val="0"/>
                <w:sz w:val="21"/>
                <w:szCs w:val="21"/>
              </w:rPr>
              <w:t>C。保持容器密封。应与氧化剂、酸类、碱金属分开存放，切忌混储。 采用防爆型的照明、通风设施。禁止使用易产生火花的机械设备和工具。储区应备有泄漏应急处理设备和合适的收容材料。</w:t>
            </w:r>
          </w:p>
        </w:tc>
      </w:tr>
    </w:tbl>
    <w:p>
      <w:pPr>
        <w:spacing w:before="0" w:beforeLines="0" w:line="280" w:lineRule="exact"/>
        <w:ind w:firstLine="0" w:firstLineChars="0"/>
        <w:jc w:val="center"/>
        <w:rPr>
          <w:rFonts w:asciiTheme="minorEastAsia" w:hAnsiTheme="minorEastAsia" w:eastAsiaTheme="minorEastAsia"/>
          <w:snapToGrid w:val="0"/>
          <w:spacing w:val="10"/>
          <w:w w:val="95"/>
          <w:kern w:val="28"/>
          <w:sz w:val="21"/>
          <w:szCs w:val="21"/>
        </w:rPr>
      </w:pPr>
      <w:bookmarkStart w:id="202" w:name="_Toc94673305"/>
      <w:bookmarkStart w:id="203" w:name="_Toc143050741"/>
      <w:bookmarkStart w:id="204" w:name="_Toc104003314"/>
      <w:bookmarkStart w:id="205" w:name="_Toc104458523"/>
      <w:bookmarkStart w:id="206" w:name="_Toc385338329"/>
    </w:p>
    <w:p>
      <w:pPr>
        <w:spacing w:before="0" w:beforeLines="0" w:line="280" w:lineRule="exact"/>
        <w:ind w:firstLine="0" w:firstLineChars="0"/>
        <w:jc w:val="center"/>
        <w:rPr>
          <w:rFonts w:asciiTheme="minorEastAsia" w:hAnsiTheme="minorEastAsia" w:eastAsiaTheme="minorEastAsia"/>
          <w:snapToGrid w:val="0"/>
          <w:spacing w:val="10"/>
          <w:w w:val="95"/>
          <w:kern w:val="28"/>
          <w:sz w:val="21"/>
          <w:szCs w:val="21"/>
        </w:rPr>
      </w:pPr>
      <w:r>
        <w:rPr>
          <w:rFonts w:asciiTheme="minorEastAsia" w:hAnsiTheme="minorEastAsia" w:eastAsiaTheme="minorEastAsia"/>
          <w:snapToGrid w:val="0"/>
          <w:spacing w:val="10"/>
          <w:w w:val="95"/>
          <w:kern w:val="28"/>
          <w:sz w:val="21"/>
          <w:szCs w:val="21"/>
        </w:rPr>
        <w:t>乙腈</w:t>
      </w:r>
      <w:bookmarkEnd w:id="202"/>
      <w:bookmarkEnd w:id="203"/>
      <w:bookmarkEnd w:id="204"/>
      <w:bookmarkEnd w:id="205"/>
      <w:bookmarkEnd w:id="206"/>
      <w:r>
        <w:rPr>
          <w:rFonts w:hint="eastAsia" w:asciiTheme="minorEastAsia" w:hAnsiTheme="minorEastAsia" w:eastAsiaTheme="minorEastAsia"/>
          <w:snapToGrid w:val="0"/>
          <w:spacing w:val="10"/>
          <w:w w:val="95"/>
          <w:kern w:val="28"/>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533"/>
        <w:gridCol w:w="178"/>
        <w:gridCol w:w="357"/>
        <w:gridCol w:w="185"/>
        <w:gridCol w:w="170"/>
        <w:gridCol w:w="179"/>
        <w:gridCol w:w="181"/>
        <w:gridCol w:w="893"/>
        <w:gridCol w:w="190"/>
        <w:gridCol w:w="352"/>
        <w:gridCol w:w="174"/>
        <w:gridCol w:w="138"/>
        <w:gridCol w:w="42"/>
        <w:gridCol w:w="361"/>
        <w:gridCol w:w="11"/>
        <w:gridCol w:w="170"/>
        <w:gridCol w:w="174"/>
        <w:gridCol w:w="185"/>
        <w:gridCol w:w="176"/>
        <w:gridCol w:w="536"/>
        <w:gridCol w:w="92"/>
        <w:gridCol w:w="87"/>
        <w:gridCol w:w="190"/>
        <w:gridCol w:w="179"/>
        <w:gridCol w:w="165"/>
        <w:gridCol w:w="540"/>
        <w:gridCol w:w="190"/>
        <w:gridCol w:w="395"/>
        <w:gridCol w:w="489"/>
        <w:gridCol w:w="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5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222" w:type="dxa"/>
            <w:gridSpan w:val="1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乙腈；甲基氰</w:t>
            </w:r>
          </w:p>
        </w:tc>
        <w:tc>
          <w:tcPr>
            <w:tcW w:w="1252"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23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Acetonitrile；methyl cyanide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35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707" w:type="dxa"/>
            <w:gridSpan w:val="2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无色液体，有刺激性气味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175"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89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-45.7</w:t>
            </w:r>
          </w:p>
        </w:tc>
        <w:tc>
          <w:tcPr>
            <w:tcW w:w="1253"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89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81.1</w:t>
            </w:r>
          </w:p>
        </w:tc>
        <w:tc>
          <w:tcPr>
            <w:tcW w:w="107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249"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w:t>
            </w:r>
          </w:p>
        </w:tc>
        <w:tc>
          <w:tcPr>
            <w:tcW w:w="161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90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175"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06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61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0.79</w:t>
            </w:r>
          </w:p>
        </w:tc>
        <w:tc>
          <w:tcPr>
            <w:tcW w:w="1255" w:type="dxa"/>
            <w:gridSpan w:val="8"/>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26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685"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175"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69"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61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1.42</w:t>
            </w:r>
          </w:p>
        </w:tc>
        <w:tc>
          <w:tcPr>
            <w:tcW w:w="1255" w:type="dxa"/>
            <w:gridSpan w:val="8"/>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260"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685"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71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150"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3.0~16.0</w:t>
            </w:r>
          </w:p>
        </w:tc>
        <w:tc>
          <w:tcPr>
            <w:tcW w:w="89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304"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3318"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716"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9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076"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107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30</w:t>
            </w:r>
          </w:p>
        </w:tc>
        <w:tc>
          <w:tcPr>
            <w:tcW w:w="107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906"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7165" w:type="dxa"/>
            <w:gridSpan w:val="2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691"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第3.2类中闪点易燃液体</w:t>
            </w:r>
          </w:p>
        </w:tc>
        <w:tc>
          <w:tcPr>
            <w:tcW w:w="1789"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685"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w:t>
            </w:r>
            <w:r>
              <w:rPr>
                <w:rFonts w:asciiTheme="minorEastAsia" w:hAnsiTheme="minorEastAsia" w:eastAsiaTheme="minorEastAsia"/>
                <w:snapToGrid w:val="0"/>
                <w:kern w:val="0"/>
                <w:sz w:val="21"/>
                <w:szCs w:val="21"/>
                <w:vertAlign w:val="subscript"/>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2425"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74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747"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ⅡA</w:t>
            </w:r>
          </w:p>
        </w:tc>
        <w:tc>
          <w:tcPr>
            <w:tcW w:w="1746"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395"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61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32159</w:t>
            </w:r>
          </w:p>
        </w:tc>
        <w:tc>
          <w:tcPr>
            <w:tcW w:w="107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61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1648</w:t>
            </w:r>
          </w:p>
        </w:tc>
        <w:tc>
          <w:tcPr>
            <w:tcW w:w="107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790"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75-05-8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691"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w:t>
            </w:r>
          </w:p>
        </w:tc>
        <w:tc>
          <w:tcPr>
            <w:tcW w:w="1610"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864"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易燃，其蒸气与空气形成爆炸性混合物，遇明火、高热或与氧化剂接触，有引起燃烧爆炸。与氧化剂能发生强烈反应。燃烧时有发光火焰。与硫酸、发烟硫酸、氯碘酸、过氯酸盐等反应剧烈。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乙腈急性中毒发病较轻氢氰酸慢，可有数小时潜伏期。主要症状为衰弱、无力、面色灰白、恶心、呕吐、腹痛、腹泻、胸闷、胸痛；严重者呼吸及循环系统紊乱，呼吸浅、慢而不规则，血压下降，脉搏细而慢，体温下降，阵发性抽搐，昏迷。可有尿频、蛋白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迅速撤离泄漏污染区人员至安全区，并进行隔离，严格限制出入，切断火源。建议应急处理人员戴自给正压式呼吸器，穿防毒服。不要直接接触泄漏物。尽可能切断泄漏源。防止流入下水道、排洪沟等限制性空间。小量泄漏：用活性炭或其它惰性材料吸收。也可以用大量水冲洗，洗水稀释后放入废水系统。大量泄漏：构筑围堤或挖坑收容。喷雾状水冷却和稀释蒸汽、保护现场人员、把泄漏物稀释成不燃物。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3" w:hRule="atLeast"/>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严加密闭，提供充分的局部排风和全面通风。操作尽可能机械化、自动化。操作人员必须经过专门培训，严格遵守操作规程。建议操作人员佩戴自吸过滤式防毒面具（全面罩）、自给式呼吸器，穿胶布防毒衣，戴橡胶耐油手套。远离火种、热源，工作场所严禁吸烟。使用防爆型的通风系统和设备。远离易燃、可燃物。防止蒸气泄漏到工作场所的空气中。避免与氧化剂、酸类、碱类接触。搬运时轻装轻卸，防止包装及容器损坏。配备相应品种和数量的消防器材及泄漏应急处理设备。倒空的容器可能残留有害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tblHeader/>
          <w:jc w:val="center"/>
        </w:trPr>
        <w:tc>
          <w:tcPr>
            <w:tcW w:w="64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8418" w:type="dxa"/>
            <w:gridSpan w:val="30"/>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的库房。远离火种、热源。库房内温度不宜超过30度。保持容器密封。应与氧化剂、还原剂、酸类、碱类、易（可）燃物、食用化学品分开存放，切忌混储。采用防爆型照明、通风设施。禁止使用易产生火花的机械设备和工具。储区应备有泄漏应急处理设备和合适的收容材料。</w:t>
            </w:r>
          </w:p>
        </w:tc>
      </w:tr>
    </w:tbl>
    <w:p>
      <w:pPr>
        <w:spacing w:before="0" w:beforeLines="0" w:line="280" w:lineRule="exact"/>
        <w:ind w:firstLine="0" w:firstLineChars="0"/>
        <w:rPr>
          <w:rFonts w:ascii="宋体" w:hAnsi="宋体" w:cs="宋体"/>
          <w:sz w:val="21"/>
          <w:szCs w:val="21"/>
        </w:rPr>
      </w:pPr>
    </w:p>
    <w:p>
      <w:pPr>
        <w:spacing w:before="0" w:beforeLines="0" w:line="280" w:lineRule="exact"/>
        <w:ind w:firstLine="0" w:firstLineChars="0"/>
        <w:jc w:val="center"/>
        <w:rPr>
          <w:rFonts w:asciiTheme="minorEastAsia" w:hAnsiTheme="minorEastAsia" w:eastAsiaTheme="minorEastAsia"/>
          <w:snapToGrid w:val="0"/>
          <w:spacing w:val="10"/>
          <w:w w:val="95"/>
          <w:kern w:val="28"/>
          <w:sz w:val="21"/>
          <w:szCs w:val="21"/>
        </w:rPr>
      </w:pPr>
      <w:bookmarkStart w:id="207" w:name="_Toc106155280"/>
      <w:bookmarkStart w:id="208" w:name="_Toc143050788"/>
      <w:bookmarkStart w:id="209" w:name="_Toc117323218"/>
      <w:bookmarkStart w:id="210" w:name="_Toc385338332"/>
      <w:r>
        <w:rPr>
          <w:rFonts w:asciiTheme="minorEastAsia" w:hAnsiTheme="minorEastAsia" w:eastAsiaTheme="minorEastAsia"/>
          <w:snapToGrid w:val="0"/>
          <w:spacing w:val="10"/>
          <w:w w:val="95"/>
          <w:kern w:val="28"/>
          <w:sz w:val="21"/>
          <w:szCs w:val="21"/>
        </w:rPr>
        <w:t>1，3-丁二烯</w:t>
      </w:r>
      <w:bookmarkEnd w:id="207"/>
      <w:bookmarkEnd w:id="208"/>
      <w:bookmarkEnd w:id="209"/>
      <w:bookmarkEnd w:id="210"/>
      <w:r>
        <w:rPr>
          <w:rFonts w:hint="eastAsia" w:asciiTheme="minorEastAsia" w:hAnsiTheme="minorEastAsia" w:eastAsiaTheme="minorEastAsia"/>
          <w:snapToGrid w:val="0"/>
          <w:spacing w:val="10"/>
          <w:w w:val="95"/>
          <w:kern w:val="28"/>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470"/>
        <w:gridCol w:w="235"/>
        <w:gridCol w:w="356"/>
        <w:gridCol w:w="188"/>
        <w:gridCol w:w="292"/>
        <w:gridCol w:w="60"/>
        <w:gridCol w:w="176"/>
        <w:gridCol w:w="732"/>
        <w:gridCol w:w="165"/>
        <w:gridCol w:w="540"/>
        <w:gridCol w:w="176"/>
        <w:gridCol w:w="185"/>
        <w:gridCol w:w="353"/>
        <w:gridCol w:w="14"/>
        <w:gridCol w:w="167"/>
        <w:gridCol w:w="176"/>
        <w:gridCol w:w="183"/>
        <w:gridCol w:w="183"/>
        <w:gridCol w:w="531"/>
        <w:gridCol w:w="91"/>
        <w:gridCol w:w="89"/>
        <w:gridCol w:w="194"/>
        <w:gridCol w:w="178"/>
        <w:gridCol w:w="169"/>
        <w:gridCol w:w="535"/>
        <w:gridCol w:w="194"/>
        <w:gridCol w:w="390"/>
        <w:gridCol w:w="495"/>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34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223" w:type="dxa"/>
            <w:gridSpan w:val="11"/>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1，3-丁二烯；联乙烯</w:t>
            </w:r>
          </w:p>
        </w:tc>
        <w:tc>
          <w:tcPr>
            <w:tcW w:w="1254"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239"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bCs/>
                <w:snapToGrid w:val="0"/>
                <w:kern w:val="0"/>
                <w:sz w:val="21"/>
                <w:szCs w:val="21"/>
              </w:rPr>
              <w:t>1，3-butadiene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344"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716" w:type="dxa"/>
            <w:gridSpan w:val="2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109"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107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-108.9</w:t>
            </w:r>
          </w:p>
        </w:tc>
        <w:tc>
          <w:tcPr>
            <w:tcW w:w="113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90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-4.5</w:t>
            </w:r>
          </w:p>
        </w:tc>
        <w:tc>
          <w:tcPr>
            <w:tcW w:w="107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252"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-76</w:t>
            </w:r>
          </w:p>
        </w:tc>
        <w:tc>
          <w:tcPr>
            <w:tcW w:w="1614"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9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109"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13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6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0.62</w:t>
            </w:r>
          </w:p>
        </w:tc>
        <w:tc>
          <w:tcPr>
            <w:tcW w:w="1254"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26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68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109"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13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613"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1.84</w:t>
            </w:r>
          </w:p>
        </w:tc>
        <w:tc>
          <w:tcPr>
            <w:tcW w:w="1254" w:type="dxa"/>
            <w:gridSpan w:val="7"/>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266"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68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轻度危害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70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153"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1.4~16.3</w:t>
            </w:r>
          </w:p>
        </w:tc>
        <w:tc>
          <w:tcPr>
            <w:tcW w:w="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312"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331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716"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95"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c>
          <w:tcPr>
            <w:tcW w:w="107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107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5</w:t>
            </w:r>
          </w:p>
        </w:tc>
        <w:tc>
          <w:tcPr>
            <w:tcW w:w="107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904"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88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7172" w:type="dxa"/>
            <w:gridSpan w:val="2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88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69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第2.1类易燃气体</w:t>
            </w:r>
          </w:p>
        </w:tc>
        <w:tc>
          <w:tcPr>
            <w:tcW w:w="1792" w:type="dxa"/>
            <w:gridSpan w:val="9"/>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68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甲、甲</w:t>
            </w:r>
            <w:r>
              <w:rPr>
                <w:rFonts w:asciiTheme="minorEastAsia" w:hAnsiTheme="minorEastAsia" w:eastAsiaTheme="minorEastAsia"/>
                <w:snapToGrid w:val="0"/>
                <w:kern w:val="0"/>
                <w:sz w:val="21"/>
                <w:szCs w:val="21"/>
                <w:vertAlign w:val="subscript"/>
              </w:rPr>
              <w:t>A</w:t>
            </w:r>
            <w:r>
              <w:rPr>
                <w:rFonts w:asciiTheme="minorEastAsia" w:hAnsiTheme="minorEastAsia" w:eastAsiaTheme="minorEastAsia"/>
                <w:snapToGrid w:val="0"/>
                <w:kern w:val="0"/>
                <w:sz w:val="21"/>
                <w:szCs w:val="21"/>
              </w:rPr>
              <w:t>（液化）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416"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79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698"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ⅡB</w:t>
            </w:r>
          </w:p>
        </w:tc>
        <w:tc>
          <w:tcPr>
            <w:tcW w:w="174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399"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88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26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21022</w:t>
            </w:r>
          </w:p>
        </w:tc>
        <w:tc>
          <w:tcPr>
            <w:tcW w:w="1433"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61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1010</w:t>
            </w:r>
          </w:p>
        </w:tc>
        <w:tc>
          <w:tcPr>
            <w:tcW w:w="1076"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78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106-99-0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88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693"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w:t>
            </w:r>
          </w:p>
        </w:tc>
        <w:tc>
          <w:tcPr>
            <w:tcW w:w="1614"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865"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0"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易燃，与空气混合能形成爆炸性混合物。接触热、火星、火焰或氧化剂易燃烧爆炸。若遇高热，可发生聚合反应，放出大量热量而引起容器破裂和爆炸事故。气体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 xml:space="preserve">切断气源。若不能切断气源，则不允许熄灭泄漏处的火焰。喷水冷却容器，可能的话将容器从火场移至空旷处。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2"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本品具有麻醉和刺激作用。急性中毒：轻者有头痛、头晕、恶心、咽痛、耳鸣、全身乏力、嗜睡等。重者出现酒醉状态、呼吸困难、脉速等，后转入意识丧失和抽搐，有时也可有烦躁不安、到处乱跑等精神症状。脱离接触后，迅速恢复。头痛和嗜睡有时可持续一段时间。皮肤直接接触丁二烯可发生灼伤或冻伤。慢性影响：长期接触一定浓度的丁二烯可出现头痛、头晕、全身乏力、失眠、多梦、记忆力减退、恶心、心悸等症状。偶见皮炎和多发性神经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8"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迅速撤离泄漏污染区人员至上风处，并进行隔离，严格限制出入。切断火源。建议应急处理人员戴自给正压式呼吸器，穿防静电工作服。尽可能切断泄漏源。用工业覆盖层或吸附/ 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8"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全面通风。操作人员必须经过专门培训，严格遵守操作规程。建议操作人员佩戴自吸过滤式防毒面具，戴化学安全防护眼镜，穿防静电工作服。远离火种、热源，工作场所严禁吸烟。使用防爆型的通风系统和设备。防止气体泄漏到工作场所空气中。避免与氧化剂、卤素接触。在传送过程中，钢瓶和容器必须接地和跨接，防止产生静电。搬运时轻装轻卸，防止钢瓶及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tblHeader/>
          <w:jc w:val="center"/>
        </w:trPr>
        <w:tc>
          <w:tcPr>
            <w:tcW w:w="639"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8421"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储存于阴凉、通风的库房。远离火种、热源。库温不宜超过30℃。应与氧化剂、卤素等分开存放，切忌混储。采用防爆型照明、通风设施。禁止使用易产生火花的机械设备和工具。储区应备有泄漏应急处理设备。</w:t>
            </w:r>
          </w:p>
        </w:tc>
      </w:tr>
    </w:tbl>
    <w:p>
      <w:pPr>
        <w:spacing w:before="0" w:beforeLines="0" w:line="280" w:lineRule="exact"/>
        <w:ind w:firstLine="0" w:firstLineChars="0"/>
        <w:rPr>
          <w:rFonts w:ascii="宋体" w:hAnsi="宋体" w:cs="宋体"/>
          <w:sz w:val="21"/>
          <w:szCs w:val="21"/>
        </w:rPr>
      </w:pPr>
    </w:p>
    <w:p>
      <w:pPr>
        <w:spacing w:before="0" w:beforeLines="0" w:line="280" w:lineRule="exact"/>
        <w:ind w:firstLine="0" w:firstLineChars="0"/>
        <w:jc w:val="center"/>
        <w:rPr>
          <w:rFonts w:asciiTheme="minorEastAsia" w:hAnsiTheme="minorEastAsia" w:eastAsiaTheme="minorEastAsia"/>
          <w:snapToGrid w:val="0"/>
          <w:spacing w:val="10"/>
          <w:w w:val="95"/>
          <w:kern w:val="28"/>
          <w:sz w:val="21"/>
          <w:szCs w:val="21"/>
        </w:rPr>
      </w:pPr>
      <w:bookmarkStart w:id="211" w:name="_Toc104458519"/>
      <w:bookmarkStart w:id="212" w:name="_Toc385338347"/>
      <w:bookmarkStart w:id="213" w:name="_Toc143050737"/>
    </w:p>
    <w:p>
      <w:pPr>
        <w:spacing w:before="0" w:beforeLines="0" w:line="280" w:lineRule="exact"/>
        <w:ind w:firstLine="0" w:firstLineChars="0"/>
        <w:jc w:val="center"/>
        <w:rPr>
          <w:rFonts w:asciiTheme="minorEastAsia" w:hAnsiTheme="minorEastAsia" w:eastAsiaTheme="minorEastAsia"/>
          <w:snapToGrid w:val="0"/>
          <w:spacing w:val="10"/>
          <w:w w:val="95"/>
          <w:kern w:val="28"/>
          <w:sz w:val="21"/>
          <w:szCs w:val="21"/>
        </w:rPr>
      </w:pPr>
      <w:r>
        <w:rPr>
          <w:rFonts w:asciiTheme="minorEastAsia" w:hAnsiTheme="minorEastAsia" w:eastAsiaTheme="minorEastAsia"/>
          <w:snapToGrid w:val="0"/>
          <w:spacing w:val="10"/>
          <w:w w:val="95"/>
          <w:kern w:val="28"/>
          <w:sz w:val="21"/>
          <w:szCs w:val="21"/>
        </w:rPr>
        <w:t>乙炔</w:t>
      </w:r>
      <w:bookmarkEnd w:id="211"/>
      <w:bookmarkEnd w:id="212"/>
      <w:bookmarkEnd w:id="213"/>
      <w:r>
        <w:rPr>
          <w:rFonts w:hint="eastAsia" w:asciiTheme="minorEastAsia" w:hAnsiTheme="minorEastAsia" w:eastAsiaTheme="minorEastAsia"/>
          <w:snapToGrid w:val="0"/>
          <w:spacing w:val="10"/>
          <w:w w:val="95"/>
          <w:kern w:val="28"/>
          <w:sz w:val="21"/>
          <w:szCs w:val="21"/>
        </w:rPr>
        <w:t>理化性质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621"/>
        <w:gridCol w:w="209"/>
        <w:gridCol w:w="422"/>
        <w:gridCol w:w="209"/>
        <w:gridCol w:w="418"/>
        <w:gridCol w:w="9"/>
        <w:gridCol w:w="158"/>
        <w:gridCol w:w="703"/>
        <w:gridCol w:w="160"/>
        <w:gridCol w:w="524"/>
        <w:gridCol w:w="171"/>
        <w:gridCol w:w="164"/>
        <w:gridCol w:w="336"/>
        <w:gridCol w:w="6"/>
        <w:gridCol w:w="156"/>
        <w:gridCol w:w="165"/>
        <w:gridCol w:w="170"/>
        <w:gridCol w:w="174"/>
        <w:gridCol w:w="507"/>
        <w:gridCol w:w="81"/>
        <w:gridCol w:w="316"/>
        <w:gridCol w:w="118"/>
        <w:gridCol w:w="217"/>
        <w:gridCol w:w="172"/>
        <w:gridCol w:w="513"/>
        <w:gridCol w:w="179"/>
        <w:gridCol w:w="154"/>
        <w:gridCol w:w="712"/>
        <w:gridCol w:w="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580"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中文名称</w:t>
            </w:r>
          </w:p>
        </w:tc>
        <w:tc>
          <w:tcPr>
            <w:tcW w:w="3274" w:type="dxa"/>
            <w:gridSpan w:val="11"/>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乙炔；电石气</w:t>
            </w:r>
          </w:p>
        </w:tc>
        <w:tc>
          <w:tcPr>
            <w:tcW w:w="1178"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英文名称</w:t>
            </w:r>
          </w:p>
        </w:tc>
        <w:tc>
          <w:tcPr>
            <w:tcW w:w="3264" w:type="dxa"/>
            <w:gridSpan w:val="10"/>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acetylene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580"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外观与气味</w:t>
            </w:r>
          </w:p>
        </w:tc>
        <w:tc>
          <w:tcPr>
            <w:tcW w:w="7716" w:type="dxa"/>
            <w:gridSpan w:val="27"/>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无色无臭气体，工业品有使人不愉快的大蒜气味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exact"/>
          <w:tblHeader/>
          <w:jc w:val="center"/>
        </w:trPr>
        <w:tc>
          <w:tcPr>
            <w:tcW w:w="1371"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熔点（℃）</w:t>
            </w:r>
          </w:p>
        </w:tc>
        <w:tc>
          <w:tcPr>
            <w:tcW w:w="126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-81.8 （119kPa）</w:t>
            </w:r>
          </w:p>
        </w:tc>
        <w:tc>
          <w:tcPr>
            <w:tcW w:w="1021"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沸点（℃）</w:t>
            </w:r>
          </w:p>
        </w:tc>
        <w:tc>
          <w:tcPr>
            <w:tcW w:w="859"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-83.8</w:t>
            </w:r>
          </w:p>
        </w:tc>
        <w:tc>
          <w:tcPr>
            <w:tcW w:w="1007"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闪点（℃）</w:t>
            </w:r>
          </w:p>
        </w:tc>
        <w:tc>
          <w:tcPr>
            <w:tcW w:w="141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＜-50</w:t>
            </w:r>
          </w:p>
        </w:tc>
        <w:tc>
          <w:tcPr>
            <w:tcW w:w="1558"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引燃温度（℃）</w:t>
            </w:r>
          </w:p>
        </w:tc>
        <w:tc>
          <w:tcPr>
            <w:tcW w:w="80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371" w:type="dxa"/>
            <w:gridSpan w:val="2"/>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相对密度</w:t>
            </w:r>
          </w:p>
        </w:tc>
        <w:tc>
          <w:tcPr>
            <w:tcW w:w="1258"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水＝1</w:t>
            </w:r>
          </w:p>
        </w:tc>
        <w:tc>
          <w:tcPr>
            <w:tcW w:w="155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0.62</w:t>
            </w:r>
          </w:p>
        </w:tc>
        <w:tc>
          <w:tcPr>
            <w:tcW w:w="1168" w:type="dxa"/>
            <w:gridSpan w:val="7"/>
            <w:vMerge w:val="restart"/>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毒性</w:t>
            </w:r>
          </w:p>
        </w:tc>
        <w:tc>
          <w:tcPr>
            <w:tcW w:w="1413"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2532"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1371" w:type="dxa"/>
            <w:gridSpan w:val="2"/>
            <w:vMerge w:val="continue"/>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258" w:type="dxa"/>
            <w:gridSpan w:val="4"/>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空气＝1</w:t>
            </w:r>
          </w:p>
        </w:tc>
        <w:tc>
          <w:tcPr>
            <w:tcW w:w="1554" w:type="dxa"/>
            <w:gridSpan w:val="5"/>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0.91</w:t>
            </w:r>
          </w:p>
        </w:tc>
        <w:tc>
          <w:tcPr>
            <w:tcW w:w="1168" w:type="dxa"/>
            <w:gridSpan w:val="7"/>
            <w:vMerge w:val="continue"/>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413"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危害程度</w:t>
            </w:r>
          </w:p>
        </w:tc>
        <w:tc>
          <w:tcPr>
            <w:tcW w:w="2532" w:type="dxa"/>
            <w:gridSpan w:val="6"/>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002"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爆炸极限（V%）</w:t>
            </w:r>
          </w:p>
        </w:tc>
        <w:tc>
          <w:tcPr>
            <w:tcW w:w="2181"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2.1～80.0</w:t>
            </w:r>
          </w:p>
        </w:tc>
        <w:tc>
          <w:tcPr>
            <w:tcW w:w="833"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灭火剂</w:t>
            </w:r>
          </w:p>
        </w:tc>
        <w:tc>
          <w:tcPr>
            <w:tcW w:w="4280" w:type="dxa"/>
            <w:gridSpan w:val="1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3659"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工作场所空气中容许浓度（mg/m</w:t>
            </w:r>
            <w:r>
              <w:rPr>
                <w:rFonts w:asciiTheme="minorEastAsia" w:hAnsiTheme="minorEastAsia" w:eastAsiaTheme="minorEastAsia"/>
                <w:snapToGrid w:val="0"/>
                <w:kern w:val="0"/>
                <w:sz w:val="21"/>
                <w:szCs w:val="21"/>
                <w:vertAlign w:val="superscript"/>
              </w:rPr>
              <w:t>3</w:t>
            </w:r>
            <w:r>
              <w:rPr>
                <w:rFonts w:asciiTheme="minorEastAsia" w:hAnsiTheme="minorEastAsia" w:eastAsiaTheme="minorEastAsia"/>
                <w:snapToGrid w:val="0"/>
                <w:kern w:val="0"/>
                <w:sz w:val="21"/>
                <w:szCs w:val="21"/>
              </w:rPr>
              <w:t>）</w:t>
            </w:r>
          </w:p>
        </w:tc>
        <w:tc>
          <w:tcPr>
            <w:tcW w:w="695"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MAC</w:t>
            </w:r>
          </w:p>
        </w:tc>
        <w:tc>
          <w:tcPr>
            <w:tcW w:w="827"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248"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PC-TWA</w:t>
            </w:r>
          </w:p>
        </w:tc>
        <w:tc>
          <w:tcPr>
            <w:tcW w:w="1020"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c>
          <w:tcPr>
            <w:tcW w:w="1045"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PC-STEL</w:t>
            </w:r>
          </w:p>
        </w:tc>
        <w:tc>
          <w:tcPr>
            <w:tcW w:w="802"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63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毒物侵入途径</w:t>
            </w:r>
          </w:p>
        </w:tc>
        <w:tc>
          <w:tcPr>
            <w:tcW w:w="6658" w:type="dxa"/>
            <w:gridSpan w:val="2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吸入、食入、经皮吸入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638"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物质危险性类别</w:t>
            </w:r>
          </w:p>
        </w:tc>
        <w:tc>
          <w:tcPr>
            <w:tcW w:w="2222"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第2.1类  易燃气体</w:t>
            </w:r>
          </w:p>
        </w:tc>
        <w:tc>
          <w:tcPr>
            <w:tcW w:w="168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火灾危险性分类</w:t>
            </w:r>
          </w:p>
        </w:tc>
        <w:tc>
          <w:tcPr>
            <w:tcW w:w="274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796"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爆炸物质级别及组别</w:t>
            </w:r>
          </w:p>
        </w:tc>
        <w:tc>
          <w:tcPr>
            <w:tcW w:w="1722"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级别</w:t>
            </w:r>
          </w:p>
        </w:tc>
        <w:tc>
          <w:tcPr>
            <w:tcW w:w="1595"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ⅡC</w:t>
            </w:r>
          </w:p>
        </w:tc>
        <w:tc>
          <w:tcPr>
            <w:tcW w:w="166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组别</w:t>
            </w:r>
          </w:p>
        </w:tc>
        <w:tc>
          <w:tcPr>
            <w:tcW w:w="1514" w:type="dxa"/>
            <w:gridSpan w:val="2"/>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21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危险货物编号</w:t>
            </w:r>
          </w:p>
        </w:tc>
        <w:tc>
          <w:tcPr>
            <w:tcW w:w="1288"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21024</w:t>
            </w:r>
          </w:p>
        </w:tc>
        <w:tc>
          <w:tcPr>
            <w:tcW w:w="1361" w:type="dxa"/>
            <w:gridSpan w:val="6"/>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UN编号</w:t>
            </w:r>
          </w:p>
        </w:tc>
        <w:tc>
          <w:tcPr>
            <w:tcW w:w="168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1001</w:t>
            </w:r>
          </w:p>
        </w:tc>
        <w:tc>
          <w:tcPr>
            <w:tcW w:w="1081" w:type="dxa"/>
            <w:gridSpan w:val="4"/>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CAS No.</w:t>
            </w:r>
          </w:p>
        </w:tc>
        <w:tc>
          <w:tcPr>
            <w:tcW w:w="1668" w:type="dxa"/>
            <w:gridSpan w:val="3"/>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74-86-2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2211" w:type="dxa"/>
            <w:gridSpan w:val="5"/>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包装类别</w:t>
            </w:r>
          </w:p>
        </w:tc>
        <w:tc>
          <w:tcPr>
            <w:tcW w:w="2649" w:type="dxa"/>
            <w:gridSpan w:val="10"/>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Ⅱ类包装</w:t>
            </w:r>
          </w:p>
        </w:tc>
        <w:tc>
          <w:tcPr>
            <w:tcW w:w="1687" w:type="dxa"/>
            <w:gridSpan w:val="8"/>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包装标志</w:t>
            </w:r>
          </w:p>
        </w:tc>
        <w:tc>
          <w:tcPr>
            <w:tcW w:w="2749" w:type="dxa"/>
            <w:gridSpan w:val="7"/>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易燃气体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0"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危险特性</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极易燃烧爆炸。与空气混合能形成爆炸性混合物，遇明火、高热能引起燃烧爆炸。与氧化剂接触猛烈反应。与氟、氯等接触会发生剧烈的化学反应。能与铜、银、汞等的化合物生成爆炸性物质。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灭火方法</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切断气源。若不能切断气源，则不允许熄灭泄漏处的火焰。喷水冷却容器，可能的话将容器从火场移至空旷处。灭火剂：雾状水、泡沫、二氧化碳、干粉。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健康危害</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 xml:space="preserve">    具有弱麻醉作用。高浓度吸入可引起单纯窒息。 </w:t>
            </w:r>
          </w:p>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急性中毒：暴露于20％浓度时，出现明显缺氧症状；吸入高浓度，初期兴奋、多语、哭笑不安，后出现眩晕、头痛、恶心、呕吐、共济失调、嗜睡；严重者昏迷、紫绀、瞳孔对光反应消失、脉弱而不齐。当混有磷化氢、硫化氢时，毒性增大，应予以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泄漏紧急处理</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迅速撤离泄漏污染区人员至上风处，并进行隔离，严格限制出入。切断火源。建议应急处理人员穿戴自给正压式呼吸器，穿防静电工作服。尽可能切断泄漏源，合理通风，加速扩散。喷雾状水稀释、溶解。构筑围堤或挖坑收容产生的大量废水。如有可能，将漏出气用排风机送至空旷地方或装适当喷头烧掉。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8"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操作处置注意事项</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密闭操作，全面通风，操作人员必须经过专门培训，严格遵守操作规程。建议操作人员穿防静电工作服。远离火种、热源，工作场所严禁吸烟。使用防爆型的通风系统和设备。防止气体泄漏到工作场所空气中。避免与氧化剂、酸类、卤素接触。传送过程中，钢瓶和容器必须接地和跨接，防止产生静电。搬运时轻装轻卸，防止钢瓶和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tblHeader/>
          <w:jc w:val="center"/>
        </w:trPr>
        <w:tc>
          <w:tcPr>
            <w:tcW w:w="750" w:type="dxa"/>
            <w:vAlign w:val="center"/>
          </w:tcPr>
          <w:p>
            <w:pPr>
              <w:autoSpaceDE w:val="0"/>
              <w:autoSpaceDN w:val="0"/>
              <w:adjustRightInd w:val="0"/>
              <w:snapToGrid w:val="0"/>
              <w:spacing w:before="0" w:beforeLines="0" w:line="280" w:lineRule="exact"/>
              <w:ind w:firstLine="0" w:firstLineChars="0"/>
              <w:jc w:val="center"/>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储存注意事项</w:t>
            </w:r>
          </w:p>
        </w:tc>
        <w:tc>
          <w:tcPr>
            <w:tcW w:w="8546" w:type="dxa"/>
            <w:gridSpan w:val="29"/>
            <w:vAlign w:val="center"/>
          </w:tcPr>
          <w:p>
            <w:pPr>
              <w:autoSpaceDE w:val="0"/>
              <w:autoSpaceDN w:val="0"/>
              <w:adjustRightInd w:val="0"/>
              <w:snapToGrid w:val="0"/>
              <w:spacing w:before="0" w:beforeLines="0" w:line="280" w:lineRule="exact"/>
              <w:ind w:firstLine="0" w:firstLineChars="0"/>
              <w:textAlignment w:val="bottom"/>
              <w:rPr>
                <w:rFonts w:asciiTheme="minorEastAsia" w:hAnsiTheme="minorEastAsia" w:eastAsiaTheme="minorEastAsia"/>
                <w:snapToGrid w:val="0"/>
                <w:kern w:val="0"/>
                <w:sz w:val="21"/>
                <w:szCs w:val="21"/>
              </w:rPr>
            </w:pPr>
            <w:r>
              <w:rPr>
                <w:rFonts w:asciiTheme="minorEastAsia" w:hAnsiTheme="minorEastAsia" w:eastAsiaTheme="minorEastAsia"/>
                <w:snapToGrid w:val="0"/>
                <w:kern w:val="0"/>
                <w:sz w:val="21"/>
                <w:szCs w:val="21"/>
              </w:rPr>
              <w:t>乙炔的包装法通常是溶解在溶剂和多孔物中，装入钢瓶内。储存于阴凉、通风的库房。远离火种和热源。库温不宜超过30</w:t>
            </w:r>
            <w:r>
              <w:rPr>
                <w:rFonts w:asciiTheme="minorEastAsia" w:hAnsiTheme="minorEastAsia" w:eastAsiaTheme="minorEastAsia"/>
                <w:snapToGrid w:val="0"/>
                <w:kern w:val="0"/>
                <w:sz w:val="21"/>
                <w:szCs w:val="21"/>
                <w:vertAlign w:val="superscript"/>
              </w:rPr>
              <w:t>0</w:t>
            </w:r>
            <w:r>
              <w:rPr>
                <w:rFonts w:asciiTheme="minorEastAsia" w:hAnsiTheme="minorEastAsia" w:eastAsiaTheme="minorEastAsia"/>
                <w:snapToGrid w:val="0"/>
                <w:kern w:val="0"/>
                <w:sz w:val="21"/>
                <w:szCs w:val="21"/>
              </w:rPr>
              <w:t>C。应与氧化剂、酸类、卤素分开存放，切忌混储。采用防爆型照明、通风设备。禁止使用易产生火花的机械设备和工具。储区应备有泄漏应急处理设备。</w:t>
            </w:r>
          </w:p>
        </w:tc>
      </w:tr>
    </w:tbl>
    <w:p>
      <w:pPr>
        <w:pStyle w:val="2"/>
        <w:spacing w:before="0" w:beforeLines="0" w:after="0" w:line="280" w:lineRule="exact"/>
        <w:ind w:firstLine="0" w:firstLineChars="0"/>
        <w:rPr>
          <w:rFonts w:ascii="宋体" w:hAnsi="宋体"/>
          <w:sz w:val="21"/>
          <w:szCs w:val="21"/>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华文新魏">
    <w:panose1 w:val="02010800040101010101"/>
    <w:charset w:val="86"/>
    <w:family w:val="auto"/>
    <w:pitch w:val="default"/>
    <w:sig w:usb0="00000001" w:usb1="080F0000" w:usb2="00000000" w:usb3="00000000" w:csb0="0004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TimesNewRoman">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幼圆">
    <w:panose1 w:val="0201050906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Times">
    <w:altName w:val="Times New Roman"/>
    <w:panose1 w:val="02020603050405020304"/>
    <w:charset w:val="00"/>
    <w:family w:val="roman"/>
    <w:pitch w:val="default"/>
    <w:sig w:usb0="00000000" w:usb1="00000000" w:usb2="00000009" w:usb3="00000000" w:csb0="000001F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MS Gothic">
    <w:panose1 w:val="020B0609070205080204"/>
    <w:charset w:val="80"/>
    <w:family w:val="modern"/>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firstLine="480"/>
    </w:pPr>
    <w:r>
      <w:tab/>
    </w:r>
    <w:r>
      <w:tab/>
    </w:r>
    <w:r>
      <w:tab/>
    </w: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spacing w:before="120"/>
                            <w:ind w:firstLine="36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c4SY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hhLNFEp++vH9&#10;9PPh9OsbiYeQqLV+hsh7i9jQvTMdwodzj8PIvKucil9wIvBD4ONFYNEFwuOl6WQ6zeHi8A0b4GeP&#10;163z4b0wikSjoA4VTMKyw8aHPnQIidm0WTdSpipKTdqCXr1+m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kc4SYtAgAAWQQAAA4AAAAAAAAAAQAgAAAAHwEAAGRycy9lMm9Eb2MueG1sUEsFBgAAAAAG&#10;AAYAWQEAAL4FAAAAAA==&#10;">
              <v:fill on="f" focussize="0,0"/>
              <v:stroke on="f" weight="0.5pt"/>
              <v:imagedata o:title=""/>
              <o:lock v:ext="edit" aspectratio="f"/>
              <v:textbox inset="0mm,0mm,0mm,0mm" style="mso-fit-shape-to-text:t;">
                <w:txbxContent>
                  <w:p>
                    <w:pPr>
                      <w:pStyle w:val="32"/>
                      <w:spacing w:before="120"/>
                      <w:ind w:firstLine="36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spacing w:before="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spacing w:before="120"/>
      <w:ind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spacing w:before="120"/>
      <w:ind w:firstLine="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spacing w:before="120"/>
                            <w:ind w:firstLine="360"/>
                          </w:pPr>
                          <w:r>
                            <w:fldChar w:fldCharType="begin"/>
                          </w:r>
                          <w:r>
                            <w:instrText xml:space="preserve"> PAGE  \* MERGEFORMAT </w:instrText>
                          </w:r>
                          <w:r>
                            <w:fldChar w:fldCharType="separate"/>
                          </w:r>
                          <w:r>
                            <w:t>101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tUHo8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f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tUHo8tAgAAVwQAAA4AAAAAAAAAAQAgAAAAHwEAAGRycy9lMm9Eb2MueG1sUEsFBgAAAAAG&#10;AAYAWQEAAL4FAAAAAA==&#10;">
              <v:fill on="f" focussize="0,0"/>
              <v:stroke on="f" weight="0.5pt"/>
              <v:imagedata o:title=""/>
              <o:lock v:ext="edit" aspectratio="f"/>
              <v:textbox inset="0mm,0mm,0mm,0mm" style="mso-fit-shape-to-text:t;">
                <w:txbxContent>
                  <w:p>
                    <w:pPr>
                      <w:pStyle w:val="32"/>
                      <w:spacing w:before="120"/>
                      <w:ind w:firstLine="360"/>
                    </w:pPr>
                    <w:r>
                      <w:fldChar w:fldCharType="begin"/>
                    </w:r>
                    <w:r>
                      <w:instrText xml:space="preserve"> PAGE  \* MERGEFORMAT </w:instrText>
                    </w:r>
                    <w:r>
                      <w:fldChar w:fldCharType="separate"/>
                    </w:r>
                    <w:r>
                      <w:t>101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firstLine="480"/>
    </w:pPr>
    <w:r>
      <mc:AlternateContent>
        <mc:Choice Requires="wps">
          <w:drawing>
            <wp:anchor distT="0" distB="0" distL="114300" distR="114300" simplePos="0" relativeHeight="251661312" behindDoc="0" locked="0" layoutInCell="1" allowOverlap="1">
              <wp:simplePos x="0" y="0"/>
              <wp:positionH relativeFrom="margin">
                <wp:posOffset>2277745</wp:posOffset>
              </wp:positionH>
              <wp:positionV relativeFrom="paragraph">
                <wp:posOffset>0</wp:posOffset>
              </wp:positionV>
              <wp:extent cx="824865" cy="1828800"/>
              <wp:effectExtent l="0" t="0" r="13335" b="6350"/>
              <wp:wrapNone/>
              <wp:docPr id="99" name="文本框 99"/>
              <wp:cNvGraphicFramePr/>
              <a:graphic xmlns:a="http://schemas.openxmlformats.org/drawingml/2006/main">
                <a:graphicData uri="http://schemas.microsoft.com/office/word/2010/wordprocessingShape">
                  <wps:wsp>
                    <wps:cNvSpPr txBox="1"/>
                    <wps:spPr>
                      <a:xfrm>
                        <a:off x="0" y="0"/>
                        <a:ext cx="82486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spacing w:before="120"/>
                            <w:ind w:firstLine="360"/>
                            <w:jc w:val="center"/>
                          </w:pPr>
                          <w:r>
                            <w:rPr>
                              <w:rFonts w:hint="eastAsia"/>
                            </w:rPr>
                            <w:fldChar w:fldCharType="begin"/>
                          </w:r>
                          <w:r>
                            <w:rPr>
                              <w:rFonts w:hint="eastAsia"/>
                            </w:rPr>
                            <w:instrText xml:space="preserve"> PAGE  \* MERGEFORMAT </w:instrText>
                          </w:r>
                          <w:r>
                            <w:rPr>
                              <w:rFonts w:hint="eastAsia"/>
                            </w:rPr>
                            <w:fldChar w:fldCharType="separate"/>
                          </w:r>
                          <w:r>
                            <w:t>106</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79.35pt;margin-top:0pt;height:144pt;width:64.95pt;mso-position-horizontal-relative:margin;z-index:251661312;mso-width-relative:page;mso-height-relative:page;" filled="f" stroked="f" coordsize="21600,21600" o:gfxdata="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133hnWAAAACAEAAA8AAAAAAAAAAQAgAAAAIgAAAGRycy9kb3ducmV2Lnht&#10;bFBLAQIUABQAAAAIAIdO4kB1GK9PNAIAAFgEAAAOAAAAAAAAAAEAIAAAACUBAABkcnMvZTJvRG9j&#10;LnhtbFBLBQYAAAAABgAGAFkBAADLBQAAAAA=&#10;">
              <v:fill on="f" focussize="0,0"/>
              <v:stroke on="f" weight="0.5pt"/>
              <v:imagedata o:title=""/>
              <o:lock v:ext="edit" aspectratio="f"/>
              <v:textbox inset="0mm,0mm,0mm,0mm" style="mso-fit-shape-to-text:t;">
                <w:txbxContent>
                  <w:p>
                    <w:pPr>
                      <w:pStyle w:val="32"/>
                      <w:spacing w:before="120"/>
                      <w:ind w:firstLine="360"/>
                      <w:jc w:val="center"/>
                    </w:pPr>
                    <w:r>
                      <w:rPr>
                        <w:rFonts w:hint="eastAsia"/>
                      </w:rPr>
                      <w:fldChar w:fldCharType="begin"/>
                    </w:r>
                    <w:r>
                      <w:rPr>
                        <w:rFonts w:hint="eastAsia"/>
                      </w:rPr>
                      <w:instrText xml:space="preserve"> PAGE  \* MERGEFORMAT </w:instrText>
                    </w:r>
                    <w:r>
                      <w:rPr>
                        <w:rFonts w:hint="eastAsia"/>
                      </w:rPr>
                      <w:fldChar w:fldCharType="separate"/>
                    </w:r>
                    <w:r>
                      <w:t>106</w:t>
                    </w:r>
                    <w:r>
                      <w:rPr>
                        <w:rFonts w:hint="eastAsia"/>
                      </w:rPr>
                      <w:fldChar w:fldCharType="end"/>
                    </w:r>
                  </w:p>
                </w:txbxContent>
              </v:textbox>
            </v:shape>
          </w:pict>
        </mc:Fallback>
      </mc:AlternateContent>
    </w: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560"/>
      <w:rPr>
        <w:rFonts w:ascii="仿宋" w:hAnsi="仿宋" w:eastAsia="仿宋" w:cs="仿宋"/>
        <w:sz w:val="20"/>
        <w:szCs w:val="28"/>
      </w:rPr>
    </w:pPr>
    <w:r>
      <w:rPr>
        <w:rFonts w:ascii="仿宋" w:hAnsi="仿宋" w:eastAsia="仿宋" w:cs="仿宋"/>
        <w:sz w:val="28"/>
        <w:szCs w:val="2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267970" cy="15367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67970" cy="153670"/>
                      </a:xfrm>
                      <a:prstGeom prst="rect">
                        <a:avLst/>
                      </a:prstGeom>
                      <a:noFill/>
                      <a:ln>
                        <a:noFill/>
                      </a:ln>
                    </wps:spPr>
                    <wps:txbx>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148</w:t>
                          </w:r>
                          <w:r>
                            <w:rPr>
                              <w:rFonts w:ascii="Arial" w:hAnsi="仿宋" w:eastAsia="仿宋" w:cs="仿宋"/>
                              <w:kern w:val="0"/>
                              <w:sz w:val="18"/>
                              <w:szCs w:val="22"/>
                            </w:rP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2.1pt;width:21.1pt;mso-position-horizontal:center;mso-position-horizontal-relative:margin;z-index:251665408;mso-width-relative:page;mso-height-relative:page;" filled="f" stroked="f" coordsize="21600,21600" o:gfxdata="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5tkmHTAAAAAwEAAA8AAAAAAAAAAQAgAAAAIgAAAGRycy9kb3ducmV2LnhtbFBLAQIUABQAAAAI&#10;AIdO4kDyLT1IuQEAAHMDAAAOAAAAAAAAAAEAIAAAACIBAABkcnMvZTJvRG9jLnhtbFBLBQYAAAAA&#10;BgAGAFkBAABNBQAAAAA=&#10;">
              <v:fill on="f" focussize="0,0"/>
              <v:stroke on="f"/>
              <v:imagedata o:title=""/>
              <o:lock v:ext="edit" aspectratio="f"/>
              <v:textbox inset="0mm,0mm,0mm,0mm">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148</w:t>
                    </w:r>
                    <w:r>
                      <w:rPr>
                        <w:rFonts w:ascii="Arial" w:hAnsi="仿宋" w:eastAsia="仿宋" w:cs="仿宋"/>
                        <w:kern w:val="0"/>
                        <w:sz w:val="18"/>
                        <w:szCs w:val="22"/>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spacing w:before="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spacing w:before="120"/>
      <w:ind w:firstLine="360"/>
    </w:pPr>
    <w:r>
      <w:rPr>
        <w:rFonts w:hint="eastAsia"/>
      </w:rPr>
      <w:t>抚顺高新技术产业开发区突发环境事件应急预案</w:t>
    </w:r>
  </w:p>
  <w:p>
    <w:pPr>
      <w:spacing w:before="120"/>
      <w:ind w:left="480" w:firstLine="0" w:firstLineChars="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400"/>
      <w:rPr>
        <w:rFonts w:ascii="仿宋" w:hAnsi="仿宋" w:eastAsia="仿宋" w:cs="仿宋"/>
        <w:sz w:val="20"/>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991778"/>
    <w:multiLevelType w:val="singleLevel"/>
    <w:tmpl w:val="88991778"/>
    <w:lvl w:ilvl="0" w:tentative="0">
      <w:start w:val="1"/>
      <w:numFmt w:val="decimal"/>
      <w:suff w:val="nothing"/>
      <w:lvlText w:val="（%1）"/>
      <w:lvlJc w:val="left"/>
    </w:lvl>
  </w:abstractNum>
  <w:abstractNum w:abstractNumId="1">
    <w:nsid w:val="C8879AEF"/>
    <w:multiLevelType w:val="multilevel"/>
    <w:tmpl w:val="C8879AEF"/>
    <w:lvl w:ilvl="0" w:tentative="0">
      <w:start w:val="1"/>
      <w:numFmt w:val="decimal"/>
      <w:pStyle w:val="292"/>
      <w:lvlText w:val="（%1）"/>
      <w:lvlJc w:val="left"/>
      <w:pPr>
        <w:ind w:left="120" w:hanging="601"/>
      </w:pPr>
      <w:rPr>
        <w:rFonts w:hint="default" w:ascii="宋体" w:hAnsi="宋体" w:eastAsia="宋体" w:cs="宋体"/>
        <w:w w:val="100"/>
        <w:sz w:val="22"/>
        <w:szCs w:val="22"/>
        <w:lang w:val="zh-CN" w:eastAsia="zh-CN" w:bidi="zh-CN"/>
      </w:rPr>
    </w:lvl>
    <w:lvl w:ilvl="1" w:tentative="0">
      <w:start w:val="0"/>
      <w:numFmt w:val="bullet"/>
      <w:pStyle w:val="165"/>
      <w:lvlText w:val="•"/>
      <w:lvlJc w:val="left"/>
      <w:pPr>
        <w:ind w:left="970" w:hanging="601"/>
      </w:pPr>
      <w:rPr>
        <w:rFonts w:hint="default"/>
        <w:lang w:val="zh-CN" w:eastAsia="zh-CN" w:bidi="zh-CN"/>
      </w:rPr>
    </w:lvl>
    <w:lvl w:ilvl="2" w:tentative="0">
      <w:start w:val="0"/>
      <w:numFmt w:val="bullet"/>
      <w:lvlText w:val="•"/>
      <w:lvlJc w:val="left"/>
      <w:pPr>
        <w:ind w:left="1821" w:hanging="601"/>
      </w:pPr>
      <w:rPr>
        <w:rFonts w:hint="default"/>
        <w:lang w:val="zh-CN" w:eastAsia="zh-CN" w:bidi="zh-CN"/>
      </w:rPr>
    </w:lvl>
    <w:lvl w:ilvl="3" w:tentative="0">
      <w:start w:val="0"/>
      <w:numFmt w:val="bullet"/>
      <w:lvlText w:val="•"/>
      <w:lvlJc w:val="left"/>
      <w:pPr>
        <w:ind w:left="2671" w:hanging="601"/>
      </w:pPr>
      <w:rPr>
        <w:rFonts w:hint="default"/>
        <w:lang w:val="zh-CN" w:eastAsia="zh-CN" w:bidi="zh-CN"/>
      </w:rPr>
    </w:lvl>
    <w:lvl w:ilvl="4" w:tentative="0">
      <w:start w:val="0"/>
      <w:numFmt w:val="bullet"/>
      <w:lvlText w:val="•"/>
      <w:lvlJc w:val="left"/>
      <w:pPr>
        <w:ind w:left="3522" w:hanging="601"/>
      </w:pPr>
      <w:rPr>
        <w:rFonts w:hint="default"/>
        <w:lang w:val="zh-CN" w:eastAsia="zh-CN" w:bidi="zh-CN"/>
      </w:rPr>
    </w:lvl>
    <w:lvl w:ilvl="5" w:tentative="0">
      <w:start w:val="0"/>
      <w:numFmt w:val="bullet"/>
      <w:lvlText w:val="•"/>
      <w:lvlJc w:val="left"/>
      <w:pPr>
        <w:ind w:left="4373" w:hanging="601"/>
      </w:pPr>
      <w:rPr>
        <w:rFonts w:hint="default"/>
        <w:lang w:val="zh-CN" w:eastAsia="zh-CN" w:bidi="zh-CN"/>
      </w:rPr>
    </w:lvl>
    <w:lvl w:ilvl="6" w:tentative="0">
      <w:start w:val="0"/>
      <w:numFmt w:val="bullet"/>
      <w:lvlText w:val="•"/>
      <w:lvlJc w:val="left"/>
      <w:pPr>
        <w:ind w:left="5223" w:hanging="601"/>
      </w:pPr>
      <w:rPr>
        <w:rFonts w:hint="default"/>
        <w:lang w:val="zh-CN" w:eastAsia="zh-CN" w:bidi="zh-CN"/>
      </w:rPr>
    </w:lvl>
    <w:lvl w:ilvl="7" w:tentative="0">
      <w:start w:val="0"/>
      <w:numFmt w:val="bullet"/>
      <w:lvlText w:val="•"/>
      <w:lvlJc w:val="left"/>
      <w:pPr>
        <w:ind w:left="6074" w:hanging="601"/>
      </w:pPr>
      <w:rPr>
        <w:rFonts w:hint="default"/>
        <w:lang w:val="zh-CN" w:eastAsia="zh-CN" w:bidi="zh-CN"/>
      </w:rPr>
    </w:lvl>
    <w:lvl w:ilvl="8" w:tentative="0">
      <w:start w:val="0"/>
      <w:numFmt w:val="bullet"/>
      <w:lvlText w:val="•"/>
      <w:lvlJc w:val="left"/>
      <w:pPr>
        <w:ind w:left="6924" w:hanging="601"/>
      </w:pPr>
      <w:rPr>
        <w:rFonts w:hint="default"/>
        <w:lang w:val="zh-CN" w:eastAsia="zh-CN" w:bidi="zh-CN"/>
      </w:rPr>
    </w:lvl>
  </w:abstractNum>
  <w:abstractNum w:abstractNumId="2">
    <w:nsid w:val="00000007"/>
    <w:multiLevelType w:val="multilevel"/>
    <w:tmpl w:val="00000007"/>
    <w:lvl w:ilvl="0" w:tentative="0">
      <w:start w:val="1"/>
      <w:numFmt w:val="none"/>
      <w:pStyle w:val="344"/>
      <w:suff w:val="nothing"/>
      <w:lvlText w:val="%1"/>
      <w:lvlJc w:val="left"/>
      <w:pPr>
        <w:ind w:left="0" w:firstLine="0"/>
      </w:pPr>
      <w:rPr>
        <w:rFonts w:hint="default" w:ascii="Times New Roman" w:hAnsi="Times New Roman"/>
        <w:b/>
        <w:i w:val="0"/>
        <w:sz w:val="21"/>
      </w:rPr>
    </w:lvl>
    <w:lvl w:ilvl="1" w:tentative="0">
      <w:start w:val="1"/>
      <w:numFmt w:val="decimal"/>
      <w:suff w:val="nothing"/>
      <w:lvlText w:val="%1%2　"/>
      <w:lvlJc w:val="left"/>
      <w:pPr>
        <w:ind w:left="0" w:firstLine="0"/>
      </w:pPr>
      <w:rPr>
        <w:rFonts w:hint="eastAsia" w:ascii="黑体" w:hAnsi="Times New Roman" w:eastAsia="黑体"/>
        <w:b w:val="0"/>
        <w:i w:val="0"/>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54" w:firstLine="0"/>
      </w:pPr>
      <w:rPr>
        <w:rFonts w:hint="eastAsia" w:ascii="黑体" w:hAnsi="Times New Roman" w:eastAsia="黑体"/>
        <w:b w:val="0"/>
        <w:i w:val="0"/>
        <w:sz w:val="21"/>
      </w:rPr>
    </w:lvl>
    <w:lvl w:ilvl="5" w:tentative="0">
      <w:start w:val="1"/>
      <w:numFmt w:val="decimal"/>
      <w:suff w:val="nothing"/>
      <w:lvlText w:val="%1%2.%3.%4.%5.%6　"/>
      <w:lvlJc w:val="left"/>
      <w:pPr>
        <w:ind w:left="1440" w:firstLine="0"/>
      </w:pPr>
      <w:rPr>
        <w:rFonts w:hint="eastAsia" w:ascii="黑体" w:hAnsi="Times New Roman" w:eastAsia="黑体"/>
        <w:b w:val="0"/>
        <w:i w:val="0"/>
        <w:color w:val="auto"/>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0B0DE67E"/>
    <w:multiLevelType w:val="multilevel"/>
    <w:tmpl w:val="0B0DE67E"/>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ascii="Times New Roman" w:hAnsi="Times New Roman" w:cs="Times New Roman"/>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4">
    <w:nsid w:val="18F34165"/>
    <w:multiLevelType w:val="singleLevel"/>
    <w:tmpl w:val="18F34165"/>
    <w:lvl w:ilvl="0" w:tentative="0">
      <w:start w:val="1"/>
      <w:numFmt w:val="decimal"/>
      <w:suff w:val="nothing"/>
      <w:lvlText w:val="（%1）"/>
      <w:lvlJc w:val="left"/>
      <w:rPr>
        <w:lang w:val="en-US"/>
      </w:rPr>
    </w:lvl>
  </w:abstractNum>
  <w:abstractNum w:abstractNumId="5">
    <w:nsid w:val="2F1C7610"/>
    <w:multiLevelType w:val="multilevel"/>
    <w:tmpl w:val="2F1C7610"/>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4873E30E"/>
    <w:multiLevelType w:val="singleLevel"/>
    <w:tmpl w:val="4873E30E"/>
    <w:lvl w:ilvl="0" w:tentative="0">
      <w:start w:val="1"/>
      <w:numFmt w:val="decimal"/>
      <w:suff w:val="nothing"/>
      <w:lvlText w:val="（%1）"/>
      <w:lvlJc w:val="left"/>
    </w:lvl>
  </w:abstractNum>
  <w:abstractNum w:abstractNumId="7">
    <w:nsid w:val="573F5410"/>
    <w:multiLevelType w:val="multilevel"/>
    <w:tmpl w:val="573F5410"/>
    <w:lvl w:ilvl="0" w:tentative="0">
      <w:start w:val="4"/>
      <w:numFmt w:val="upperLetter"/>
      <w:pStyle w:val="313"/>
      <w:lvlText w:val="%1、"/>
      <w:lvlJc w:val="left"/>
      <w:pPr>
        <w:tabs>
          <w:tab w:val="left" w:pos="1470"/>
        </w:tabs>
        <w:ind w:left="1470" w:hanging="720"/>
      </w:pPr>
      <w:rPr>
        <w:rFonts w:hint="default"/>
      </w:rPr>
    </w:lvl>
    <w:lvl w:ilvl="1" w:tentative="0">
      <w:start w:val="1"/>
      <w:numFmt w:val="lowerLetter"/>
      <w:pStyle w:val="350"/>
      <w:lvlText w:val="%2)"/>
      <w:lvlJc w:val="left"/>
      <w:pPr>
        <w:tabs>
          <w:tab w:val="left" w:pos="1590"/>
        </w:tabs>
        <w:ind w:left="1590" w:hanging="420"/>
      </w:pPr>
    </w:lvl>
    <w:lvl w:ilvl="2" w:tentative="0">
      <w:start w:val="1"/>
      <w:numFmt w:val="lowerRoman"/>
      <w:pStyle w:val="319"/>
      <w:lvlText w:val="%3."/>
      <w:lvlJc w:val="right"/>
      <w:pPr>
        <w:tabs>
          <w:tab w:val="left" w:pos="2010"/>
        </w:tabs>
        <w:ind w:left="2010" w:hanging="420"/>
      </w:pPr>
    </w:lvl>
    <w:lvl w:ilvl="3" w:tentative="0">
      <w:start w:val="1"/>
      <w:numFmt w:val="decimal"/>
      <w:pStyle w:val="400"/>
      <w:lvlText w:val="%4."/>
      <w:lvlJc w:val="left"/>
      <w:pPr>
        <w:tabs>
          <w:tab w:val="left" w:pos="2430"/>
        </w:tabs>
        <w:ind w:left="2430" w:hanging="420"/>
      </w:pPr>
    </w:lvl>
    <w:lvl w:ilvl="4" w:tentative="0">
      <w:start w:val="1"/>
      <w:numFmt w:val="lowerLetter"/>
      <w:lvlText w:val="%5)"/>
      <w:lvlJc w:val="left"/>
      <w:pPr>
        <w:tabs>
          <w:tab w:val="left" w:pos="2850"/>
        </w:tabs>
        <w:ind w:left="2850" w:hanging="420"/>
      </w:pPr>
    </w:lvl>
    <w:lvl w:ilvl="5" w:tentative="0">
      <w:start w:val="1"/>
      <w:numFmt w:val="lowerRoman"/>
      <w:lvlText w:val="%6."/>
      <w:lvlJc w:val="right"/>
      <w:pPr>
        <w:tabs>
          <w:tab w:val="left" w:pos="3270"/>
        </w:tabs>
        <w:ind w:left="3270" w:hanging="420"/>
      </w:pPr>
    </w:lvl>
    <w:lvl w:ilvl="6" w:tentative="0">
      <w:start w:val="1"/>
      <w:numFmt w:val="decimal"/>
      <w:lvlText w:val="%7."/>
      <w:lvlJc w:val="left"/>
      <w:pPr>
        <w:tabs>
          <w:tab w:val="left" w:pos="3690"/>
        </w:tabs>
        <w:ind w:left="3690" w:hanging="420"/>
      </w:pPr>
    </w:lvl>
    <w:lvl w:ilvl="7" w:tentative="0">
      <w:start w:val="1"/>
      <w:numFmt w:val="lowerLetter"/>
      <w:lvlText w:val="%8)"/>
      <w:lvlJc w:val="left"/>
      <w:pPr>
        <w:tabs>
          <w:tab w:val="left" w:pos="4110"/>
        </w:tabs>
        <w:ind w:left="4110" w:hanging="420"/>
      </w:pPr>
    </w:lvl>
    <w:lvl w:ilvl="8" w:tentative="0">
      <w:start w:val="1"/>
      <w:numFmt w:val="lowerRoman"/>
      <w:lvlText w:val="%9."/>
      <w:lvlJc w:val="right"/>
      <w:pPr>
        <w:tabs>
          <w:tab w:val="left" w:pos="4530"/>
        </w:tabs>
        <w:ind w:left="4530" w:hanging="420"/>
      </w:pPr>
    </w:lvl>
  </w:abstractNum>
  <w:abstractNum w:abstractNumId="8">
    <w:nsid w:val="5B3DD61B"/>
    <w:multiLevelType w:val="multilevel"/>
    <w:tmpl w:val="5B3DD61B"/>
    <w:lvl w:ilvl="0" w:tentative="0">
      <w:start w:val="1"/>
      <w:numFmt w:val="decimal"/>
      <w:lvlText w:val="%1."/>
      <w:lvlJc w:val="left"/>
      <w:pPr>
        <w:tabs>
          <w:tab w:val="left" w:pos="432"/>
        </w:tabs>
        <w:ind w:left="432" w:hanging="432"/>
      </w:pPr>
      <w:rPr>
        <w:rFonts w:hint="default"/>
      </w:rPr>
    </w:lvl>
    <w:lvl w:ilvl="1" w:tentative="0">
      <w:start w:val="1"/>
      <w:numFmt w:val="decimal"/>
      <w:lvlText w:val="%1.%2."/>
      <w:lvlJc w:val="left"/>
      <w:pPr>
        <w:tabs>
          <w:tab w:val="left" w:pos="575"/>
        </w:tabs>
        <w:ind w:left="575" w:hanging="575"/>
      </w:pPr>
      <w:rPr>
        <w:rFonts w:hint="default"/>
      </w:rPr>
    </w:lvl>
    <w:lvl w:ilvl="2" w:tentative="0">
      <w:start w:val="1"/>
      <w:numFmt w:val="decimal"/>
      <w:pStyle w:val="248"/>
      <w:lvlText w:val="%1.%2.%3."/>
      <w:lvlJc w:val="left"/>
      <w:pPr>
        <w:tabs>
          <w:tab w:val="left" w:pos="720"/>
        </w:tabs>
        <w:ind w:left="720" w:hanging="720"/>
      </w:pPr>
      <w:rPr>
        <w:rFonts w:hint="default"/>
      </w:rPr>
    </w:lvl>
    <w:lvl w:ilvl="3" w:tentative="0">
      <w:start w:val="1"/>
      <w:numFmt w:val="decimal"/>
      <w:pStyle w:val="247"/>
      <w:lvlText w:val="%1.%2.%3.%4."/>
      <w:lvlJc w:val="left"/>
      <w:pPr>
        <w:tabs>
          <w:tab w:val="left" w:pos="864"/>
        </w:tabs>
        <w:ind w:left="864" w:hanging="864"/>
      </w:pPr>
      <w:rPr>
        <w:rFonts w:hint="default"/>
      </w:rPr>
    </w:lvl>
    <w:lvl w:ilvl="4" w:tentative="0">
      <w:start w:val="1"/>
      <w:numFmt w:val="decimal"/>
      <w:pStyle w:val="246"/>
      <w:lvlText w:val="%1.%2.%3.%4.%5."/>
      <w:lvlJc w:val="left"/>
      <w:pPr>
        <w:tabs>
          <w:tab w:val="left" w:pos="1008"/>
        </w:tabs>
        <w:ind w:left="1008" w:hanging="1008"/>
      </w:pPr>
      <w:rPr>
        <w:rFonts w:hint="default"/>
      </w:rPr>
    </w:lvl>
    <w:lvl w:ilvl="5" w:tentative="0">
      <w:start w:val="1"/>
      <w:numFmt w:val="decimal"/>
      <w:lvlText w:val="%1.%2.%3.%4.%5.%6."/>
      <w:lvlJc w:val="left"/>
      <w:pPr>
        <w:tabs>
          <w:tab w:val="left" w:pos="1151"/>
        </w:tabs>
        <w:ind w:left="1151" w:hanging="1151"/>
      </w:pPr>
      <w:rPr>
        <w:rFonts w:hint="default"/>
      </w:rPr>
    </w:lvl>
    <w:lvl w:ilvl="6" w:tentative="0">
      <w:start w:val="1"/>
      <w:numFmt w:val="decimal"/>
      <w:lvlText w:val="%1.%2.%3.%4.%5.%6.%7."/>
      <w:lvlJc w:val="left"/>
      <w:pPr>
        <w:tabs>
          <w:tab w:val="left" w:pos="1296"/>
        </w:tabs>
        <w:ind w:left="1296" w:hanging="1296"/>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583"/>
        </w:tabs>
        <w:ind w:left="1583" w:hanging="1583"/>
      </w:pPr>
      <w:rPr>
        <w:rFonts w:hint="default"/>
      </w:rPr>
    </w:lvl>
  </w:abstractNum>
  <w:abstractNum w:abstractNumId="9">
    <w:nsid w:val="61F8417C"/>
    <w:multiLevelType w:val="multilevel"/>
    <w:tmpl w:val="61F8417C"/>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8"/>
  </w:num>
  <w:num w:numId="3">
    <w:abstractNumId w:val="7"/>
  </w:num>
  <w:num w:numId="4">
    <w:abstractNumId w:val="2"/>
  </w:num>
  <w:num w:numId="5">
    <w:abstractNumId w:val="3"/>
  </w:num>
  <w:num w:numId="6">
    <w:abstractNumId w:val="0"/>
  </w:num>
  <w:num w:numId="7">
    <w:abstractNumId w:val="6"/>
  </w:num>
  <w:num w:numId="8">
    <w:abstractNumId w:val="9"/>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c1NDdkOTJlNzZmN2FlZDBjNmRjZTQ2ZWU3ZGI5MzYifQ=="/>
  </w:docVars>
  <w:rsids>
    <w:rsidRoot w:val="00455F44"/>
    <w:rsid w:val="00005CF9"/>
    <w:rsid w:val="00016B67"/>
    <w:rsid w:val="000403C2"/>
    <w:rsid w:val="00040731"/>
    <w:rsid w:val="000466E8"/>
    <w:rsid w:val="00047294"/>
    <w:rsid w:val="00052A4C"/>
    <w:rsid w:val="00053894"/>
    <w:rsid w:val="0006443D"/>
    <w:rsid w:val="00071F63"/>
    <w:rsid w:val="0007244F"/>
    <w:rsid w:val="00082EDA"/>
    <w:rsid w:val="000902EC"/>
    <w:rsid w:val="000A284C"/>
    <w:rsid w:val="000B0B1E"/>
    <w:rsid w:val="000B2A3D"/>
    <w:rsid w:val="000B40B2"/>
    <w:rsid w:val="000B6198"/>
    <w:rsid w:val="000D2755"/>
    <w:rsid w:val="000D55B0"/>
    <w:rsid w:val="000E78EC"/>
    <w:rsid w:val="00102D53"/>
    <w:rsid w:val="00131881"/>
    <w:rsid w:val="00146A0D"/>
    <w:rsid w:val="0016545D"/>
    <w:rsid w:val="00167836"/>
    <w:rsid w:val="001806C3"/>
    <w:rsid w:val="00190298"/>
    <w:rsid w:val="00197A7B"/>
    <w:rsid w:val="00216E56"/>
    <w:rsid w:val="00220C85"/>
    <w:rsid w:val="00240E23"/>
    <w:rsid w:val="002447D9"/>
    <w:rsid w:val="00261BC2"/>
    <w:rsid w:val="00263EE2"/>
    <w:rsid w:val="0026599A"/>
    <w:rsid w:val="00284424"/>
    <w:rsid w:val="00296C08"/>
    <w:rsid w:val="002E7836"/>
    <w:rsid w:val="003347EB"/>
    <w:rsid w:val="003359B2"/>
    <w:rsid w:val="00336DF1"/>
    <w:rsid w:val="003379F1"/>
    <w:rsid w:val="0034172D"/>
    <w:rsid w:val="003477C8"/>
    <w:rsid w:val="0038381F"/>
    <w:rsid w:val="00385D08"/>
    <w:rsid w:val="00390D79"/>
    <w:rsid w:val="00397F8A"/>
    <w:rsid w:val="003B3E12"/>
    <w:rsid w:val="003B4FF4"/>
    <w:rsid w:val="003B512D"/>
    <w:rsid w:val="003C0FF5"/>
    <w:rsid w:val="003C7B00"/>
    <w:rsid w:val="003D2464"/>
    <w:rsid w:val="003D39CD"/>
    <w:rsid w:val="003E4EC7"/>
    <w:rsid w:val="00417801"/>
    <w:rsid w:val="00455F44"/>
    <w:rsid w:val="004658A5"/>
    <w:rsid w:val="00466978"/>
    <w:rsid w:val="00472E44"/>
    <w:rsid w:val="004A197D"/>
    <w:rsid w:val="004D4053"/>
    <w:rsid w:val="004D5649"/>
    <w:rsid w:val="00504501"/>
    <w:rsid w:val="00511357"/>
    <w:rsid w:val="00513A2C"/>
    <w:rsid w:val="005147E6"/>
    <w:rsid w:val="00540F22"/>
    <w:rsid w:val="00541E05"/>
    <w:rsid w:val="00545A8B"/>
    <w:rsid w:val="00547FD0"/>
    <w:rsid w:val="00560DE0"/>
    <w:rsid w:val="0056311E"/>
    <w:rsid w:val="00586085"/>
    <w:rsid w:val="00591603"/>
    <w:rsid w:val="005A3BA5"/>
    <w:rsid w:val="005A716E"/>
    <w:rsid w:val="005D24EC"/>
    <w:rsid w:val="005D7C2D"/>
    <w:rsid w:val="005E2CD6"/>
    <w:rsid w:val="00600577"/>
    <w:rsid w:val="006112C1"/>
    <w:rsid w:val="0061431C"/>
    <w:rsid w:val="00624002"/>
    <w:rsid w:val="00626BB4"/>
    <w:rsid w:val="00653F3C"/>
    <w:rsid w:val="00673333"/>
    <w:rsid w:val="006865E1"/>
    <w:rsid w:val="006943B9"/>
    <w:rsid w:val="006B29D6"/>
    <w:rsid w:val="006C5232"/>
    <w:rsid w:val="006D12AB"/>
    <w:rsid w:val="006D33CE"/>
    <w:rsid w:val="006F28FF"/>
    <w:rsid w:val="006F54D0"/>
    <w:rsid w:val="00734BE1"/>
    <w:rsid w:val="00734C65"/>
    <w:rsid w:val="00735704"/>
    <w:rsid w:val="0073649C"/>
    <w:rsid w:val="007821FE"/>
    <w:rsid w:val="00782556"/>
    <w:rsid w:val="00786C68"/>
    <w:rsid w:val="007914E7"/>
    <w:rsid w:val="007C08F1"/>
    <w:rsid w:val="007E0BED"/>
    <w:rsid w:val="007E12D0"/>
    <w:rsid w:val="007E212A"/>
    <w:rsid w:val="007F1231"/>
    <w:rsid w:val="00803FDB"/>
    <w:rsid w:val="00812896"/>
    <w:rsid w:val="00827097"/>
    <w:rsid w:val="00827D99"/>
    <w:rsid w:val="00866770"/>
    <w:rsid w:val="00870A4C"/>
    <w:rsid w:val="00870C17"/>
    <w:rsid w:val="008842C5"/>
    <w:rsid w:val="008A4A63"/>
    <w:rsid w:val="008D3525"/>
    <w:rsid w:val="008E572C"/>
    <w:rsid w:val="00957D50"/>
    <w:rsid w:val="00984FD1"/>
    <w:rsid w:val="009903CC"/>
    <w:rsid w:val="009A75BB"/>
    <w:rsid w:val="009B6BDC"/>
    <w:rsid w:val="009D18B1"/>
    <w:rsid w:val="009E7C62"/>
    <w:rsid w:val="00A30CA7"/>
    <w:rsid w:val="00A348EC"/>
    <w:rsid w:val="00A34B76"/>
    <w:rsid w:val="00A71A7C"/>
    <w:rsid w:val="00A86609"/>
    <w:rsid w:val="00AA2B4F"/>
    <w:rsid w:val="00AF305B"/>
    <w:rsid w:val="00B2017F"/>
    <w:rsid w:val="00B57A4E"/>
    <w:rsid w:val="00B62449"/>
    <w:rsid w:val="00B814B8"/>
    <w:rsid w:val="00BB738C"/>
    <w:rsid w:val="00BE289E"/>
    <w:rsid w:val="00BF23FD"/>
    <w:rsid w:val="00BF69CA"/>
    <w:rsid w:val="00C02750"/>
    <w:rsid w:val="00C152F7"/>
    <w:rsid w:val="00C1558D"/>
    <w:rsid w:val="00C26CEC"/>
    <w:rsid w:val="00C42338"/>
    <w:rsid w:val="00C53DA8"/>
    <w:rsid w:val="00C56781"/>
    <w:rsid w:val="00C7190B"/>
    <w:rsid w:val="00C7730D"/>
    <w:rsid w:val="00C82E9F"/>
    <w:rsid w:val="00CD49F4"/>
    <w:rsid w:val="00CD7244"/>
    <w:rsid w:val="00CE1133"/>
    <w:rsid w:val="00CE1926"/>
    <w:rsid w:val="00CF1EA7"/>
    <w:rsid w:val="00CF2B02"/>
    <w:rsid w:val="00CF4935"/>
    <w:rsid w:val="00CF7BBB"/>
    <w:rsid w:val="00D03D04"/>
    <w:rsid w:val="00D05C22"/>
    <w:rsid w:val="00D11708"/>
    <w:rsid w:val="00D261C9"/>
    <w:rsid w:val="00D51AC9"/>
    <w:rsid w:val="00D542BA"/>
    <w:rsid w:val="00D6732F"/>
    <w:rsid w:val="00D851EF"/>
    <w:rsid w:val="00DA73B8"/>
    <w:rsid w:val="00DB6D96"/>
    <w:rsid w:val="00DD3CB2"/>
    <w:rsid w:val="00DE3B6D"/>
    <w:rsid w:val="00DE5EF7"/>
    <w:rsid w:val="00DF62CE"/>
    <w:rsid w:val="00E073AF"/>
    <w:rsid w:val="00E10DDC"/>
    <w:rsid w:val="00E16B28"/>
    <w:rsid w:val="00E221B0"/>
    <w:rsid w:val="00E27734"/>
    <w:rsid w:val="00E57BF3"/>
    <w:rsid w:val="00E73953"/>
    <w:rsid w:val="00E82F88"/>
    <w:rsid w:val="00E913D6"/>
    <w:rsid w:val="00E91AEE"/>
    <w:rsid w:val="00ED5AFC"/>
    <w:rsid w:val="00EE61E3"/>
    <w:rsid w:val="00EE6722"/>
    <w:rsid w:val="00F00BCB"/>
    <w:rsid w:val="00F00C39"/>
    <w:rsid w:val="00F01721"/>
    <w:rsid w:val="00F131E8"/>
    <w:rsid w:val="00F15FE8"/>
    <w:rsid w:val="00F20FD1"/>
    <w:rsid w:val="00F22B9E"/>
    <w:rsid w:val="00F30E4F"/>
    <w:rsid w:val="00F32F6C"/>
    <w:rsid w:val="00F539C3"/>
    <w:rsid w:val="00F64255"/>
    <w:rsid w:val="00F66A92"/>
    <w:rsid w:val="00F66FDF"/>
    <w:rsid w:val="00F73351"/>
    <w:rsid w:val="00FA06CA"/>
    <w:rsid w:val="00FB189D"/>
    <w:rsid w:val="00FD3E4B"/>
    <w:rsid w:val="00FE1EAD"/>
    <w:rsid w:val="00FF3E0F"/>
    <w:rsid w:val="0444150C"/>
    <w:rsid w:val="10415BFE"/>
    <w:rsid w:val="112367FE"/>
    <w:rsid w:val="15E22011"/>
    <w:rsid w:val="17DB39C8"/>
    <w:rsid w:val="23D4727D"/>
    <w:rsid w:val="3BEB3053"/>
    <w:rsid w:val="3C66727F"/>
    <w:rsid w:val="3E6F4127"/>
    <w:rsid w:val="4F353778"/>
    <w:rsid w:val="56CB4F97"/>
    <w:rsid w:val="5A335284"/>
    <w:rsid w:val="60CC553A"/>
    <w:rsid w:val="70C55BFC"/>
    <w:rsid w:val="7B5A3446"/>
    <w:rsid w:val="7C3A70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nhideWhenUsed="0" w:uiPriority="0" w:name="footnote text"/>
    <w:lsdException w:qFormat="1" w:unhideWhenUsed="0" w:uiPriority="0" w:semiHidden="0" w:name="annotation text"/>
    <w:lsdException w:qFormat="1" w:unhideWhenUsed="0" w:uiPriority="0" w:semiHidden="0" w:name="header"/>
    <w:lsdException w:qFormat="1" w:uiPriority="0" w:semiHidden="0" w:name="footer"/>
    <w:lsdException w:uiPriority="99" w:name="index heading"/>
    <w:lsdException w:qFormat="1" w:unhideWhenUsed="0" w:uiPriority="0" w:semiHidden="0" w:name="caption"/>
    <w:lsdException w:qFormat="1" w:unhideWhenUsed="0" w:uiPriority="0" w:name="table of figures"/>
    <w:lsdException w:uiPriority="99" w:name="envelope address"/>
    <w:lsdException w:uiPriority="99" w:name="envelope return"/>
    <w:lsdException w:qFormat="1" w:unhideWhenUsed="0" w:uiPriority="0"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qFormat="1" w:uiPriority="0" w:semiHidden="0" w:name="endnote text"/>
    <w:lsdException w:uiPriority="99" w:name="table of authorities"/>
    <w:lsdException w:uiPriority="99" w:name="macro"/>
    <w:lsdException w:qFormat="1" w:unhideWhenUsed="0" w:uiPriority="0" w:name="toa heading"/>
    <w:lsdException w:qFormat="1" w:unhideWhenUsed="0" w:uiPriority="0" w:semiHidden="0" w:name="List"/>
    <w:lsdException w:uiPriority="99" w:name="List Bullet"/>
    <w:lsdException w:qFormat="1" w:unhideWhenUsed="0" w:uiPriority="0" w:semiHidden="0"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semiHidden="0"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nhideWhenUsed="0" w:uiPriority="0"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nhideWhenUsed="0" w:uiPriority="0" w:semiHidden="0"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before="50" w:beforeLines="50" w:line="360" w:lineRule="auto"/>
      <w:ind w:firstLine="422" w:firstLineChars="200"/>
    </w:pPr>
    <w:rPr>
      <w:rFonts w:ascii="Times New Roman" w:hAnsi="Times New Roman" w:eastAsia="宋体" w:cs="Times New Roman"/>
      <w:kern w:val="2"/>
      <w:sz w:val="24"/>
      <w:szCs w:val="24"/>
      <w:lang w:val="en-US" w:eastAsia="zh-CN" w:bidi="ar-SA"/>
    </w:rPr>
  </w:style>
  <w:style w:type="paragraph" w:styleId="3">
    <w:name w:val="heading 1"/>
    <w:basedOn w:val="1"/>
    <w:next w:val="1"/>
    <w:link w:val="69"/>
    <w:qFormat/>
    <w:uiPriority w:val="0"/>
    <w:pPr>
      <w:keepNext/>
      <w:keepLines/>
      <w:spacing w:beforeLines="0"/>
      <w:ind w:left="482" w:hanging="482" w:hangingChars="100"/>
      <w:jc w:val="both"/>
      <w:outlineLvl w:val="0"/>
    </w:pPr>
    <w:rPr>
      <w:b/>
      <w:kern w:val="44"/>
      <w:sz w:val="32"/>
    </w:rPr>
  </w:style>
  <w:style w:type="paragraph" w:styleId="4">
    <w:name w:val="heading 2"/>
    <w:basedOn w:val="1"/>
    <w:next w:val="1"/>
    <w:link w:val="70"/>
    <w:unhideWhenUsed/>
    <w:qFormat/>
    <w:uiPriority w:val="0"/>
    <w:pPr>
      <w:keepNext/>
      <w:keepLines/>
      <w:spacing w:beforeLines="0"/>
      <w:ind w:hanging="482" w:hangingChars="100"/>
      <w:jc w:val="both"/>
      <w:outlineLvl w:val="1"/>
    </w:pPr>
    <w:rPr>
      <w:b/>
      <w:sz w:val="30"/>
    </w:rPr>
  </w:style>
  <w:style w:type="paragraph" w:styleId="5">
    <w:name w:val="heading 3"/>
    <w:basedOn w:val="1"/>
    <w:next w:val="1"/>
    <w:link w:val="71"/>
    <w:qFormat/>
    <w:uiPriority w:val="0"/>
    <w:pPr>
      <w:keepNext/>
      <w:keepLines/>
      <w:ind w:hanging="482" w:hangingChars="100"/>
      <w:outlineLvl w:val="2"/>
    </w:pPr>
    <w:rPr>
      <w:b/>
      <w:bCs/>
      <w:sz w:val="28"/>
      <w:szCs w:val="32"/>
    </w:rPr>
  </w:style>
  <w:style w:type="paragraph" w:styleId="6">
    <w:name w:val="heading 4"/>
    <w:basedOn w:val="1"/>
    <w:next w:val="1"/>
    <w:link w:val="72"/>
    <w:unhideWhenUsed/>
    <w:qFormat/>
    <w:uiPriority w:val="0"/>
    <w:pPr>
      <w:keepNext/>
      <w:keepLines/>
      <w:spacing w:before="10" w:beforeLines="0"/>
      <w:ind w:left="482" w:hanging="482" w:hangingChars="100"/>
      <w:jc w:val="both"/>
      <w:outlineLvl w:val="3"/>
    </w:pPr>
    <w:rPr>
      <w:b/>
    </w:rPr>
  </w:style>
  <w:style w:type="paragraph" w:styleId="7">
    <w:name w:val="heading 5"/>
    <w:basedOn w:val="1"/>
    <w:next w:val="1"/>
    <w:link w:val="92"/>
    <w:qFormat/>
    <w:uiPriority w:val="0"/>
    <w:pPr>
      <w:keepNext/>
      <w:tabs>
        <w:tab w:val="left" w:pos="1008"/>
      </w:tabs>
      <w:spacing w:before="0" w:beforeLines="0"/>
      <w:ind w:left="4320" w:firstLine="200"/>
      <w:jc w:val="both"/>
      <w:outlineLvl w:val="4"/>
    </w:pPr>
    <w:rPr>
      <w:rFonts w:eastAsia="仿宋"/>
      <w:b/>
      <w:bCs/>
      <w:kern w:val="0"/>
      <w:szCs w:val="28"/>
    </w:rPr>
  </w:style>
  <w:style w:type="paragraph" w:styleId="8">
    <w:name w:val="heading 6"/>
    <w:basedOn w:val="1"/>
    <w:next w:val="1"/>
    <w:link w:val="93"/>
    <w:qFormat/>
    <w:uiPriority w:val="0"/>
    <w:pPr>
      <w:keepNext/>
      <w:tabs>
        <w:tab w:val="left" w:pos="1151"/>
      </w:tabs>
      <w:spacing w:before="0" w:beforeLines="0" w:line="300" w:lineRule="exact"/>
      <w:ind w:left="5100" w:firstLine="200"/>
      <w:jc w:val="both"/>
      <w:outlineLvl w:val="5"/>
    </w:pPr>
    <w:rPr>
      <w:rFonts w:eastAsia="仿宋"/>
      <w:i/>
      <w:iCs/>
      <w:color w:val="000000"/>
      <w:kern w:val="0"/>
      <w:sz w:val="30"/>
      <w:szCs w:val="30"/>
    </w:rPr>
  </w:style>
  <w:style w:type="paragraph" w:styleId="9">
    <w:name w:val="heading 7"/>
    <w:basedOn w:val="1"/>
    <w:next w:val="1"/>
    <w:link w:val="94"/>
    <w:qFormat/>
    <w:uiPriority w:val="0"/>
    <w:pPr>
      <w:keepNext/>
      <w:tabs>
        <w:tab w:val="left" w:pos="1296"/>
      </w:tabs>
      <w:spacing w:before="0" w:beforeLines="0"/>
      <w:ind w:left="5880" w:firstLine="200"/>
      <w:jc w:val="both"/>
      <w:outlineLvl w:val="6"/>
    </w:pPr>
    <w:rPr>
      <w:rFonts w:eastAsia="仿宋"/>
      <w:i/>
      <w:iCs/>
      <w:color w:val="000000"/>
      <w:kern w:val="0"/>
      <w:sz w:val="15"/>
      <w:szCs w:val="18"/>
    </w:rPr>
  </w:style>
  <w:style w:type="paragraph" w:styleId="10">
    <w:name w:val="heading 8"/>
    <w:basedOn w:val="1"/>
    <w:next w:val="1"/>
    <w:link w:val="95"/>
    <w:qFormat/>
    <w:uiPriority w:val="0"/>
    <w:pPr>
      <w:keepNext/>
      <w:keepLines/>
      <w:tabs>
        <w:tab w:val="left" w:pos="1440"/>
      </w:tabs>
      <w:autoSpaceDE w:val="0"/>
      <w:autoSpaceDN w:val="0"/>
      <w:adjustRightInd w:val="0"/>
      <w:spacing w:before="240" w:beforeLines="0" w:after="64" w:line="320" w:lineRule="atLeast"/>
      <w:ind w:left="6660" w:firstLine="200"/>
      <w:jc w:val="both"/>
      <w:outlineLvl w:val="7"/>
    </w:pPr>
    <w:rPr>
      <w:rFonts w:ascii="Arial" w:hAnsi="Arial" w:eastAsia="黑体"/>
      <w:kern w:val="0"/>
      <w:szCs w:val="20"/>
    </w:rPr>
  </w:style>
  <w:style w:type="paragraph" w:styleId="11">
    <w:name w:val="heading 9"/>
    <w:basedOn w:val="1"/>
    <w:next w:val="1"/>
    <w:link w:val="96"/>
    <w:qFormat/>
    <w:uiPriority w:val="0"/>
    <w:pPr>
      <w:keepNext/>
      <w:keepLines/>
      <w:tabs>
        <w:tab w:val="left" w:pos="1584"/>
      </w:tabs>
      <w:autoSpaceDE w:val="0"/>
      <w:autoSpaceDN w:val="0"/>
      <w:adjustRightInd w:val="0"/>
      <w:spacing w:before="240" w:beforeLines="0" w:after="64" w:line="320" w:lineRule="atLeast"/>
      <w:ind w:left="7440" w:firstLine="200"/>
      <w:jc w:val="both"/>
      <w:outlineLvl w:val="8"/>
    </w:pPr>
    <w:rPr>
      <w:rFonts w:ascii="Arial" w:hAnsi="Arial" w:eastAsia="黑体"/>
      <w:kern w:val="0"/>
      <w:sz w:val="28"/>
      <w:szCs w:val="20"/>
    </w:rPr>
  </w:style>
  <w:style w:type="character" w:default="1" w:styleId="58">
    <w:name w:val="Default Paragraph Font"/>
    <w:semiHidden/>
    <w:unhideWhenUsed/>
    <w:qFormat/>
    <w:uiPriority w:val="1"/>
  </w:style>
  <w:style w:type="table" w:default="1" w:styleId="54">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68"/>
    <w:unhideWhenUsed/>
    <w:qFormat/>
    <w:uiPriority w:val="0"/>
    <w:pPr>
      <w:spacing w:after="120"/>
    </w:pPr>
  </w:style>
  <w:style w:type="paragraph" w:styleId="12">
    <w:name w:val="toc 7"/>
    <w:basedOn w:val="1"/>
    <w:next w:val="1"/>
    <w:unhideWhenUsed/>
    <w:qFormat/>
    <w:uiPriority w:val="39"/>
    <w:pPr>
      <w:spacing w:before="0" w:beforeLines="0" w:line="240" w:lineRule="auto"/>
      <w:ind w:left="2520" w:leftChars="1200" w:firstLine="0" w:firstLineChars="0"/>
      <w:jc w:val="both"/>
    </w:pPr>
    <w:rPr>
      <w:rFonts w:asciiTheme="minorHAnsi" w:hAnsiTheme="minorHAnsi" w:eastAsiaTheme="minorEastAsia" w:cstheme="minorBidi"/>
      <w:sz w:val="21"/>
      <w:szCs w:val="22"/>
    </w:rPr>
  </w:style>
  <w:style w:type="paragraph" w:styleId="13">
    <w:name w:val="Note Heading"/>
    <w:basedOn w:val="1"/>
    <w:next w:val="1"/>
    <w:link w:val="113"/>
    <w:qFormat/>
    <w:uiPriority w:val="0"/>
    <w:pPr>
      <w:topLinePunct/>
      <w:spacing w:before="0" w:beforeLines="0"/>
      <w:ind w:firstLine="480"/>
      <w:jc w:val="center"/>
    </w:pPr>
    <w:rPr>
      <w:rFonts w:ascii="宋体" w:eastAsia="仿宋"/>
      <w:kern w:val="0"/>
      <w:sz w:val="28"/>
      <w:szCs w:val="20"/>
    </w:rPr>
  </w:style>
  <w:style w:type="paragraph" w:styleId="14">
    <w:name w:val="List Number"/>
    <w:basedOn w:val="1"/>
    <w:qFormat/>
    <w:uiPriority w:val="0"/>
    <w:pPr>
      <w:tabs>
        <w:tab w:val="left" w:pos="360"/>
      </w:tabs>
      <w:adjustRightInd w:val="0"/>
      <w:snapToGrid w:val="0"/>
      <w:spacing w:before="0" w:beforeLines="0" w:line="300" w:lineRule="auto"/>
      <w:ind w:left="360" w:hanging="360" w:hangingChars="200"/>
      <w:jc w:val="both"/>
    </w:pPr>
    <w:rPr>
      <w:rFonts w:ascii="仿宋_GB2312" w:eastAsia="仿宋_GB2312"/>
      <w:kern w:val="0"/>
      <w:sz w:val="28"/>
      <w:szCs w:val="28"/>
    </w:rPr>
  </w:style>
  <w:style w:type="paragraph" w:styleId="15">
    <w:name w:val="Normal Indent"/>
    <w:basedOn w:val="1"/>
    <w:link w:val="86"/>
    <w:unhideWhenUsed/>
    <w:qFormat/>
    <w:uiPriority w:val="0"/>
    <w:pPr>
      <w:spacing w:before="0" w:beforeLines="0" w:line="240" w:lineRule="auto"/>
      <w:ind w:firstLine="420"/>
      <w:jc w:val="both"/>
    </w:pPr>
    <w:rPr>
      <w:rFonts w:ascii="Calibri" w:hAnsi="Calibri" w:cs="黑体"/>
      <w:sz w:val="21"/>
      <w:szCs w:val="21"/>
    </w:rPr>
  </w:style>
  <w:style w:type="paragraph" w:styleId="16">
    <w:name w:val="caption"/>
    <w:basedOn w:val="1"/>
    <w:next w:val="1"/>
    <w:link w:val="116"/>
    <w:qFormat/>
    <w:uiPriority w:val="0"/>
    <w:pPr>
      <w:keepNext/>
      <w:widowControl/>
      <w:adjustRightInd w:val="0"/>
      <w:snapToGrid w:val="0"/>
      <w:spacing w:before="0" w:beforeLines="0"/>
      <w:ind w:firstLine="480"/>
      <w:jc w:val="center"/>
    </w:pPr>
    <w:rPr>
      <w:rFonts w:eastAsia="仿宋_GB2312"/>
      <w:b/>
      <w:bCs/>
      <w:kern w:val="0"/>
      <w:sz w:val="28"/>
      <w:szCs w:val="28"/>
      <w:lang w:val="zh-CN"/>
    </w:rPr>
  </w:style>
  <w:style w:type="paragraph" w:styleId="17">
    <w:name w:val="Document Map"/>
    <w:basedOn w:val="1"/>
    <w:link w:val="117"/>
    <w:semiHidden/>
    <w:qFormat/>
    <w:uiPriority w:val="0"/>
    <w:pPr>
      <w:shd w:val="clear" w:color="auto" w:fill="000080"/>
      <w:spacing w:before="0" w:beforeLines="0"/>
      <w:ind w:firstLine="480"/>
      <w:jc w:val="both"/>
    </w:pPr>
    <w:rPr>
      <w:rFonts w:eastAsia="仿宋"/>
      <w:sz w:val="21"/>
      <w:szCs w:val="28"/>
    </w:rPr>
  </w:style>
  <w:style w:type="paragraph" w:styleId="18">
    <w:name w:val="toa heading"/>
    <w:basedOn w:val="1"/>
    <w:next w:val="1"/>
    <w:semiHidden/>
    <w:qFormat/>
    <w:uiPriority w:val="0"/>
    <w:pPr>
      <w:spacing w:before="120" w:beforeLines="0"/>
      <w:ind w:firstLine="480"/>
      <w:jc w:val="both"/>
    </w:pPr>
    <w:rPr>
      <w:rFonts w:ascii="Arial" w:hAnsi="Arial" w:eastAsia="仿宋" w:cs="Arial"/>
      <w:kern w:val="0"/>
      <w:szCs w:val="28"/>
    </w:rPr>
  </w:style>
  <w:style w:type="paragraph" w:styleId="19">
    <w:name w:val="annotation text"/>
    <w:basedOn w:val="1"/>
    <w:link w:val="119"/>
    <w:qFormat/>
    <w:uiPriority w:val="0"/>
    <w:pPr>
      <w:spacing w:before="0" w:beforeLines="0"/>
      <w:ind w:firstLine="480"/>
    </w:pPr>
    <w:rPr>
      <w:rFonts w:eastAsia="仿宋"/>
      <w:sz w:val="21"/>
      <w:szCs w:val="28"/>
    </w:rPr>
  </w:style>
  <w:style w:type="paragraph" w:styleId="20">
    <w:name w:val="Body Text 3"/>
    <w:basedOn w:val="1"/>
    <w:link w:val="120"/>
    <w:qFormat/>
    <w:uiPriority w:val="0"/>
    <w:pPr>
      <w:spacing w:before="0" w:beforeLines="0" w:after="120"/>
      <w:ind w:firstLine="480"/>
      <w:jc w:val="both"/>
    </w:pPr>
    <w:rPr>
      <w:rFonts w:eastAsia="仿宋"/>
      <w:kern w:val="0"/>
      <w:sz w:val="16"/>
      <w:szCs w:val="16"/>
    </w:rPr>
  </w:style>
  <w:style w:type="paragraph" w:styleId="21">
    <w:name w:val="Body Text Indent"/>
    <w:basedOn w:val="1"/>
    <w:link w:val="114"/>
    <w:unhideWhenUsed/>
    <w:qFormat/>
    <w:uiPriority w:val="0"/>
    <w:pPr>
      <w:autoSpaceDE w:val="0"/>
      <w:autoSpaceDN w:val="0"/>
      <w:spacing w:before="0" w:beforeLines="0" w:after="120" w:line="240" w:lineRule="auto"/>
      <w:ind w:left="420" w:leftChars="200" w:firstLine="0" w:firstLineChars="0"/>
    </w:pPr>
    <w:rPr>
      <w:rFonts w:ascii="宋体" w:hAnsi="宋体" w:cs="宋体"/>
      <w:kern w:val="0"/>
      <w:sz w:val="22"/>
      <w:szCs w:val="22"/>
      <w:lang w:val="zh-CN" w:bidi="zh-CN"/>
    </w:rPr>
  </w:style>
  <w:style w:type="paragraph" w:styleId="22">
    <w:name w:val="List 2"/>
    <w:basedOn w:val="1"/>
    <w:qFormat/>
    <w:uiPriority w:val="0"/>
    <w:pPr>
      <w:spacing w:before="0" w:beforeLines="0"/>
      <w:ind w:left="100" w:leftChars="200" w:hanging="200" w:hangingChars="200"/>
      <w:jc w:val="both"/>
    </w:pPr>
    <w:rPr>
      <w:rFonts w:eastAsia="仿宋"/>
      <w:kern w:val="0"/>
      <w:sz w:val="28"/>
      <w:szCs w:val="28"/>
    </w:rPr>
  </w:style>
  <w:style w:type="paragraph" w:styleId="23">
    <w:name w:val="Block Text"/>
    <w:basedOn w:val="1"/>
    <w:qFormat/>
    <w:uiPriority w:val="0"/>
    <w:pPr>
      <w:spacing w:before="0" w:beforeLines="0" w:after="120"/>
      <w:ind w:left="1440" w:leftChars="700" w:right="1440" w:rightChars="700" w:firstLine="480"/>
      <w:jc w:val="both"/>
    </w:pPr>
    <w:rPr>
      <w:rFonts w:eastAsia="仿宋"/>
      <w:kern w:val="0"/>
      <w:sz w:val="28"/>
      <w:szCs w:val="28"/>
    </w:rPr>
  </w:style>
  <w:style w:type="paragraph" w:styleId="24">
    <w:name w:val="toc 5"/>
    <w:basedOn w:val="1"/>
    <w:next w:val="1"/>
    <w:unhideWhenUsed/>
    <w:qFormat/>
    <w:uiPriority w:val="39"/>
    <w:pPr>
      <w:spacing w:before="0" w:beforeLines="0" w:line="240" w:lineRule="auto"/>
      <w:ind w:left="1680" w:leftChars="800" w:firstLine="0" w:firstLineChars="0"/>
      <w:jc w:val="both"/>
    </w:pPr>
    <w:rPr>
      <w:rFonts w:asciiTheme="minorHAnsi" w:hAnsiTheme="minorHAnsi" w:eastAsiaTheme="minorEastAsia" w:cstheme="minorBidi"/>
      <w:sz w:val="21"/>
      <w:szCs w:val="22"/>
    </w:rPr>
  </w:style>
  <w:style w:type="paragraph" w:styleId="25">
    <w:name w:val="toc 3"/>
    <w:basedOn w:val="1"/>
    <w:next w:val="1"/>
    <w:qFormat/>
    <w:uiPriority w:val="39"/>
    <w:pPr>
      <w:ind w:left="840" w:leftChars="400" w:firstLine="200"/>
      <w:jc w:val="both"/>
    </w:pPr>
  </w:style>
  <w:style w:type="paragraph" w:styleId="26">
    <w:name w:val="Plain Text"/>
    <w:basedOn w:val="1"/>
    <w:link w:val="122"/>
    <w:qFormat/>
    <w:uiPriority w:val="0"/>
    <w:pPr>
      <w:autoSpaceDE w:val="0"/>
      <w:autoSpaceDN w:val="0"/>
      <w:adjustRightInd w:val="0"/>
      <w:spacing w:before="0" w:beforeLines="0" w:line="440" w:lineRule="atLeast"/>
      <w:ind w:firstLine="425"/>
      <w:jc w:val="both"/>
      <w:textAlignment w:val="baseline"/>
    </w:pPr>
    <w:rPr>
      <w:rFonts w:ascii="宋体" w:hAnsi="Tms Rmn" w:eastAsia="仿宋"/>
      <w:kern w:val="0"/>
      <w:sz w:val="28"/>
      <w:szCs w:val="20"/>
    </w:rPr>
  </w:style>
  <w:style w:type="paragraph" w:styleId="27">
    <w:name w:val="toc 8"/>
    <w:basedOn w:val="1"/>
    <w:next w:val="1"/>
    <w:unhideWhenUsed/>
    <w:qFormat/>
    <w:uiPriority w:val="39"/>
    <w:pPr>
      <w:spacing w:before="0" w:beforeLines="0" w:line="240" w:lineRule="auto"/>
      <w:ind w:left="2940" w:leftChars="1400" w:firstLine="0" w:firstLineChars="0"/>
      <w:jc w:val="both"/>
    </w:pPr>
    <w:rPr>
      <w:rFonts w:asciiTheme="minorHAnsi" w:hAnsiTheme="minorHAnsi" w:eastAsiaTheme="minorEastAsia" w:cstheme="minorBidi"/>
      <w:sz w:val="21"/>
      <w:szCs w:val="22"/>
    </w:rPr>
  </w:style>
  <w:style w:type="paragraph" w:styleId="28">
    <w:name w:val="Date"/>
    <w:basedOn w:val="1"/>
    <w:next w:val="1"/>
    <w:link w:val="81"/>
    <w:unhideWhenUsed/>
    <w:qFormat/>
    <w:uiPriority w:val="0"/>
    <w:pPr>
      <w:spacing w:before="100" w:beforeLines="0" w:beforeAutospacing="1" w:after="100" w:afterAutospacing="1" w:line="240" w:lineRule="auto"/>
      <w:ind w:left="100" w:leftChars="2500" w:firstLine="0" w:firstLineChars="0"/>
      <w:jc w:val="both"/>
    </w:pPr>
    <w:rPr>
      <w:sz w:val="21"/>
      <w:szCs w:val="21"/>
    </w:rPr>
  </w:style>
  <w:style w:type="paragraph" w:styleId="29">
    <w:name w:val="Body Text Indent 2"/>
    <w:basedOn w:val="1"/>
    <w:next w:val="1"/>
    <w:link w:val="73"/>
    <w:qFormat/>
    <w:uiPriority w:val="99"/>
    <w:pPr>
      <w:spacing w:after="120" w:line="480" w:lineRule="auto"/>
      <w:ind w:left="420" w:leftChars="200" w:firstLine="200"/>
      <w:jc w:val="both"/>
    </w:pPr>
  </w:style>
  <w:style w:type="paragraph" w:styleId="30">
    <w:name w:val="endnote text"/>
    <w:basedOn w:val="1"/>
    <w:link w:val="123"/>
    <w:unhideWhenUsed/>
    <w:qFormat/>
    <w:uiPriority w:val="0"/>
    <w:pPr>
      <w:snapToGrid w:val="0"/>
      <w:spacing w:before="0" w:beforeLines="0"/>
      <w:ind w:firstLine="480"/>
    </w:pPr>
    <w:rPr>
      <w:rFonts w:eastAsia="华文新魏"/>
      <w:sz w:val="21"/>
      <w:szCs w:val="28"/>
    </w:rPr>
  </w:style>
  <w:style w:type="paragraph" w:styleId="31">
    <w:name w:val="Balloon Text"/>
    <w:basedOn w:val="1"/>
    <w:link w:val="80"/>
    <w:qFormat/>
    <w:uiPriority w:val="0"/>
    <w:pPr>
      <w:spacing w:before="0" w:line="240" w:lineRule="auto"/>
      <w:ind w:firstLine="200"/>
      <w:jc w:val="both"/>
    </w:pPr>
    <w:rPr>
      <w:sz w:val="18"/>
      <w:szCs w:val="18"/>
    </w:rPr>
  </w:style>
  <w:style w:type="paragraph" w:styleId="32">
    <w:name w:val="footer"/>
    <w:basedOn w:val="1"/>
    <w:next w:val="33"/>
    <w:link w:val="67"/>
    <w:unhideWhenUsed/>
    <w:qFormat/>
    <w:uiPriority w:val="0"/>
    <w:pPr>
      <w:tabs>
        <w:tab w:val="center" w:pos="4153"/>
        <w:tab w:val="right" w:pos="8306"/>
      </w:tabs>
      <w:snapToGrid w:val="0"/>
    </w:pPr>
    <w:rPr>
      <w:sz w:val="18"/>
      <w:szCs w:val="18"/>
    </w:rPr>
  </w:style>
  <w:style w:type="paragraph" w:customStyle="1" w:styleId="33">
    <w:name w:val="toc 65"/>
    <w:next w:val="1"/>
    <w:qFormat/>
    <w:uiPriority w:val="0"/>
    <w:pPr>
      <w:wordWrap w:val="0"/>
      <w:ind w:left="2125"/>
      <w:jc w:val="both"/>
    </w:pPr>
    <w:rPr>
      <w:rFonts w:ascii="Calibri" w:hAnsi="Calibri" w:eastAsia="宋体" w:cs="Times New Roman"/>
      <w:kern w:val="0"/>
      <w:sz w:val="21"/>
      <w:szCs w:val="20"/>
      <w:lang w:val="en-US" w:eastAsia="zh-CN" w:bidi="ar-SA"/>
    </w:rPr>
  </w:style>
  <w:style w:type="paragraph" w:styleId="34">
    <w:name w:val="header"/>
    <w:basedOn w:val="1"/>
    <w:link w:val="74"/>
    <w:qFormat/>
    <w:uiPriority w:val="0"/>
    <w:pPr>
      <w:pBdr>
        <w:bottom w:val="single" w:color="auto" w:sz="6" w:space="1"/>
      </w:pBdr>
      <w:tabs>
        <w:tab w:val="center" w:pos="4153"/>
        <w:tab w:val="right" w:pos="8306"/>
      </w:tabs>
      <w:snapToGrid w:val="0"/>
      <w:ind w:firstLine="200"/>
      <w:jc w:val="center"/>
    </w:pPr>
    <w:rPr>
      <w:sz w:val="18"/>
      <w:szCs w:val="18"/>
    </w:rPr>
  </w:style>
  <w:style w:type="paragraph" w:styleId="35">
    <w:name w:val="toc 1"/>
    <w:basedOn w:val="1"/>
    <w:next w:val="1"/>
    <w:qFormat/>
    <w:uiPriority w:val="39"/>
    <w:pPr>
      <w:ind w:firstLine="200"/>
      <w:jc w:val="both"/>
    </w:pPr>
  </w:style>
  <w:style w:type="paragraph" w:styleId="36">
    <w:name w:val="toc 4"/>
    <w:basedOn w:val="1"/>
    <w:next w:val="1"/>
    <w:unhideWhenUsed/>
    <w:qFormat/>
    <w:uiPriority w:val="39"/>
    <w:pPr>
      <w:spacing w:before="0" w:beforeLines="0" w:line="240" w:lineRule="auto"/>
      <w:ind w:left="1260" w:leftChars="600" w:firstLine="0" w:firstLineChars="0"/>
      <w:jc w:val="both"/>
    </w:pPr>
    <w:rPr>
      <w:rFonts w:asciiTheme="minorHAnsi" w:hAnsiTheme="minorHAnsi" w:eastAsiaTheme="minorEastAsia" w:cstheme="minorBidi"/>
      <w:sz w:val="21"/>
      <w:szCs w:val="22"/>
    </w:rPr>
  </w:style>
  <w:style w:type="paragraph" w:styleId="37">
    <w:name w:val="List Number 5"/>
    <w:basedOn w:val="1"/>
    <w:qFormat/>
    <w:uiPriority w:val="0"/>
    <w:pPr>
      <w:tabs>
        <w:tab w:val="left" w:pos="1275"/>
      </w:tabs>
      <w:spacing w:before="0" w:beforeLines="0"/>
      <w:ind w:left="1275" w:hanging="720"/>
      <w:jc w:val="both"/>
    </w:pPr>
    <w:rPr>
      <w:rFonts w:eastAsia="仿宋"/>
      <w:kern w:val="0"/>
      <w:sz w:val="28"/>
      <w:szCs w:val="20"/>
    </w:rPr>
  </w:style>
  <w:style w:type="paragraph" w:styleId="38">
    <w:name w:val="List"/>
    <w:basedOn w:val="1"/>
    <w:qFormat/>
    <w:uiPriority w:val="0"/>
    <w:pPr>
      <w:spacing w:before="0" w:beforeLines="0"/>
      <w:ind w:left="200" w:hanging="200" w:hangingChars="200"/>
      <w:jc w:val="both"/>
    </w:pPr>
    <w:rPr>
      <w:rFonts w:eastAsia="仿宋"/>
      <w:kern w:val="0"/>
      <w:sz w:val="28"/>
      <w:szCs w:val="28"/>
    </w:rPr>
  </w:style>
  <w:style w:type="paragraph" w:styleId="39">
    <w:name w:val="footnote text"/>
    <w:basedOn w:val="40"/>
    <w:next w:val="40"/>
    <w:link w:val="124"/>
    <w:semiHidden/>
    <w:qFormat/>
    <w:uiPriority w:val="0"/>
    <w:rPr>
      <w:color w:val="auto"/>
      <w:sz w:val="20"/>
    </w:rPr>
  </w:style>
  <w:style w:type="paragraph" w:customStyle="1" w:styleId="40">
    <w:name w:val="Default"/>
    <w:link w:val="125"/>
    <w:qFormat/>
    <w:uiPriority w:val="0"/>
    <w:pPr>
      <w:widowControl w:val="0"/>
      <w:autoSpaceDE w:val="0"/>
      <w:autoSpaceDN w:val="0"/>
      <w:adjustRightInd w:val="0"/>
    </w:pPr>
    <w:rPr>
      <w:rFonts w:ascii="宋体" w:hAnsi="Times New Roman" w:eastAsia="宋体" w:cs="Times New Roman"/>
      <w:color w:val="000000"/>
      <w:kern w:val="0"/>
      <w:sz w:val="24"/>
      <w:szCs w:val="24"/>
      <w:lang w:val="en-US" w:eastAsia="zh-CN" w:bidi="ar-SA"/>
    </w:rPr>
  </w:style>
  <w:style w:type="paragraph" w:styleId="41">
    <w:name w:val="toc 6"/>
    <w:basedOn w:val="1"/>
    <w:next w:val="1"/>
    <w:unhideWhenUsed/>
    <w:qFormat/>
    <w:uiPriority w:val="39"/>
    <w:pPr>
      <w:spacing w:before="0" w:beforeLines="0" w:line="240" w:lineRule="auto"/>
      <w:ind w:left="2100" w:leftChars="1000" w:firstLine="0" w:firstLineChars="0"/>
      <w:jc w:val="both"/>
    </w:pPr>
    <w:rPr>
      <w:rFonts w:asciiTheme="minorHAnsi" w:hAnsiTheme="minorHAnsi" w:eastAsiaTheme="minorEastAsia" w:cstheme="minorBidi"/>
      <w:sz w:val="21"/>
      <w:szCs w:val="22"/>
    </w:rPr>
  </w:style>
  <w:style w:type="paragraph" w:styleId="42">
    <w:name w:val="Body Text Indent 3"/>
    <w:basedOn w:val="1"/>
    <w:link w:val="126"/>
    <w:qFormat/>
    <w:uiPriority w:val="0"/>
    <w:pPr>
      <w:tabs>
        <w:tab w:val="left" w:pos="2896"/>
      </w:tabs>
      <w:spacing w:before="0" w:beforeLines="0" w:line="520" w:lineRule="exact"/>
      <w:ind w:firstLine="560"/>
      <w:jc w:val="both"/>
    </w:pPr>
    <w:rPr>
      <w:rFonts w:ascii="仿宋_GB2312" w:eastAsia="仿宋_GB2312"/>
      <w:sz w:val="28"/>
      <w:szCs w:val="28"/>
    </w:rPr>
  </w:style>
  <w:style w:type="paragraph" w:styleId="43">
    <w:name w:val="table of figures"/>
    <w:basedOn w:val="1"/>
    <w:next w:val="1"/>
    <w:semiHidden/>
    <w:qFormat/>
    <w:uiPriority w:val="0"/>
    <w:pPr>
      <w:spacing w:before="0" w:beforeLines="0"/>
      <w:ind w:left="200" w:leftChars="200" w:hanging="200" w:hangingChars="200"/>
      <w:jc w:val="both"/>
    </w:pPr>
    <w:rPr>
      <w:rFonts w:eastAsia="仿宋"/>
      <w:kern w:val="0"/>
      <w:sz w:val="28"/>
      <w:szCs w:val="28"/>
    </w:rPr>
  </w:style>
  <w:style w:type="paragraph" w:styleId="44">
    <w:name w:val="toc 2"/>
    <w:basedOn w:val="1"/>
    <w:next w:val="1"/>
    <w:qFormat/>
    <w:uiPriority w:val="39"/>
    <w:pPr>
      <w:ind w:left="420" w:leftChars="200" w:firstLine="200"/>
      <w:jc w:val="both"/>
    </w:pPr>
  </w:style>
  <w:style w:type="paragraph" w:styleId="45">
    <w:name w:val="toc 9"/>
    <w:basedOn w:val="1"/>
    <w:next w:val="1"/>
    <w:unhideWhenUsed/>
    <w:qFormat/>
    <w:uiPriority w:val="39"/>
    <w:pPr>
      <w:spacing w:before="0" w:beforeLines="0" w:line="240" w:lineRule="auto"/>
      <w:ind w:left="3360" w:leftChars="1600" w:firstLine="0" w:firstLineChars="0"/>
      <w:jc w:val="both"/>
    </w:pPr>
    <w:rPr>
      <w:rFonts w:asciiTheme="minorHAnsi" w:hAnsiTheme="minorHAnsi" w:eastAsiaTheme="minorEastAsia" w:cstheme="minorBidi"/>
      <w:sz w:val="21"/>
      <w:szCs w:val="22"/>
    </w:rPr>
  </w:style>
  <w:style w:type="paragraph" w:styleId="46">
    <w:name w:val="Body Text 2"/>
    <w:basedOn w:val="1"/>
    <w:link w:val="100"/>
    <w:qFormat/>
    <w:uiPriority w:val="0"/>
    <w:pPr>
      <w:autoSpaceDE w:val="0"/>
      <w:autoSpaceDN w:val="0"/>
      <w:spacing w:before="0" w:beforeLines="0" w:after="120" w:line="480" w:lineRule="auto"/>
      <w:ind w:firstLine="0" w:firstLineChars="0"/>
    </w:pPr>
    <w:rPr>
      <w:rFonts w:ascii="宋体" w:hAnsi="宋体" w:cs="宋体"/>
      <w:kern w:val="0"/>
      <w:sz w:val="22"/>
      <w:szCs w:val="22"/>
      <w:lang w:val="zh-CN" w:bidi="zh-CN"/>
    </w:rPr>
  </w:style>
  <w:style w:type="paragraph" w:styleId="47">
    <w:name w:val="HTML Preformatted"/>
    <w:basedOn w:val="1"/>
    <w:link w:val="12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Lines="0" w:line="330" w:lineRule="atLeast"/>
      <w:ind w:firstLine="480"/>
    </w:pPr>
    <w:rPr>
      <w:rFonts w:ascii="Arial" w:hAnsi="Arial" w:eastAsia="仿宋" w:cs="Arial"/>
      <w:kern w:val="0"/>
      <w:sz w:val="28"/>
      <w:szCs w:val="21"/>
    </w:rPr>
  </w:style>
  <w:style w:type="paragraph" w:styleId="48">
    <w:name w:val="Normal (Web)"/>
    <w:basedOn w:val="1"/>
    <w:qFormat/>
    <w:uiPriority w:val="0"/>
    <w:pPr>
      <w:autoSpaceDE w:val="0"/>
      <w:autoSpaceDN w:val="0"/>
      <w:spacing w:before="100" w:beforeLines="0" w:beforeAutospacing="1" w:after="100" w:afterAutospacing="1" w:line="240" w:lineRule="auto"/>
      <w:ind w:firstLine="0" w:firstLineChars="0"/>
    </w:pPr>
    <w:rPr>
      <w:rFonts w:ascii="宋体" w:hAnsi="宋体"/>
      <w:kern w:val="0"/>
      <w:szCs w:val="22"/>
    </w:rPr>
  </w:style>
  <w:style w:type="paragraph" w:styleId="49">
    <w:name w:val="index 1"/>
    <w:basedOn w:val="1"/>
    <w:next w:val="1"/>
    <w:semiHidden/>
    <w:qFormat/>
    <w:uiPriority w:val="0"/>
    <w:pPr>
      <w:spacing w:before="0" w:beforeLines="0" w:line="320" w:lineRule="exact"/>
      <w:ind w:firstLine="480"/>
      <w:jc w:val="center"/>
    </w:pPr>
    <w:rPr>
      <w:rFonts w:ascii="宋体" w:hAnsi="宋体" w:eastAsia="仿宋"/>
      <w:color w:val="000000"/>
      <w:kern w:val="0"/>
      <w:sz w:val="28"/>
      <w:szCs w:val="28"/>
    </w:rPr>
  </w:style>
  <w:style w:type="paragraph" w:styleId="50">
    <w:name w:val="Title"/>
    <w:basedOn w:val="1"/>
    <w:link w:val="129"/>
    <w:qFormat/>
    <w:uiPriority w:val="0"/>
    <w:pPr>
      <w:spacing w:before="120" w:beforeLines="0" w:after="120"/>
      <w:ind w:firstLine="480"/>
      <w:jc w:val="center"/>
      <w:outlineLvl w:val="0"/>
    </w:pPr>
    <w:rPr>
      <w:rFonts w:ascii="Arial" w:hAnsi="Arial" w:eastAsia="黑体" w:cs="Arial"/>
      <w:b/>
      <w:bCs/>
      <w:sz w:val="32"/>
      <w:szCs w:val="32"/>
    </w:rPr>
  </w:style>
  <w:style w:type="paragraph" w:styleId="51">
    <w:name w:val="annotation subject"/>
    <w:basedOn w:val="19"/>
    <w:next w:val="19"/>
    <w:link w:val="130"/>
    <w:semiHidden/>
    <w:qFormat/>
    <w:uiPriority w:val="0"/>
    <w:rPr>
      <w:b/>
      <w:bCs/>
    </w:rPr>
  </w:style>
  <w:style w:type="paragraph" w:styleId="52">
    <w:name w:val="Body Text First Indent"/>
    <w:basedOn w:val="2"/>
    <w:link w:val="131"/>
    <w:qFormat/>
    <w:uiPriority w:val="0"/>
    <w:pPr>
      <w:spacing w:before="0" w:beforeLines="0"/>
      <w:ind w:firstLine="420" w:firstLineChars="100"/>
      <w:jc w:val="both"/>
    </w:pPr>
    <w:rPr>
      <w:rFonts w:eastAsia="仿宋"/>
      <w:sz w:val="28"/>
    </w:rPr>
  </w:style>
  <w:style w:type="paragraph" w:styleId="53">
    <w:name w:val="Body Text First Indent 2"/>
    <w:basedOn w:val="21"/>
    <w:next w:val="1"/>
    <w:link w:val="115"/>
    <w:unhideWhenUsed/>
    <w:qFormat/>
    <w:uiPriority w:val="0"/>
    <w:pPr>
      <w:autoSpaceDE/>
      <w:autoSpaceDN/>
      <w:spacing w:line="360" w:lineRule="auto"/>
      <w:ind w:firstLine="420" w:firstLineChars="200"/>
      <w:jc w:val="both"/>
    </w:pPr>
    <w:rPr>
      <w:rFonts w:eastAsia="仿宋"/>
      <w:kern w:val="2"/>
      <w:sz w:val="21"/>
      <w:szCs w:val="28"/>
      <w:lang w:val="en-US" w:bidi="ar-SA"/>
    </w:rPr>
  </w:style>
  <w:style w:type="table" w:styleId="55">
    <w:name w:val="Table Grid"/>
    <w:basedOn w:val="5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6">
    <w:name w:val="Table Theme"/>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7">
    <w:name w:val="Table Grid 1"/>
    <w:basedOn w:val="54"/>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9">
    <w:name w:val="Strong"/>
    <w:qFormat/>
    <w:uiPriority w:val="0"/>
    <w:rPr>
      <w:b/>
      <w:bCs/>
    </w:rPr>
  </w:style>
  <w:style w:type="character" w:styleId="60">
    <w:name w:val="page number"/>
    <w:basedOn w:val="58"/>
    <w:qFormat/>
    <w:uiPriority w:val="0"/>
  </w:style>
  <w:style w:type="character" w:styleId="61">
    <w:name w:val="FollowedHyperlink"/>
    <w:qFormat/>
    <w:uiPriority w:val="0"/>
    <w:rPr>
      <w:color w:val="333333"/>
      <w:u w:val="none"/>
    </w:rPr>
  </w:style>
  <w:style w:type="character" w:styleId="62">
    <w:name w:val="Emphasis"/>
    <w:qFormat/>
    <w:uiPriority w:val="0"/>
    <w:rPr>
      <w:color w:val="CC0033"/>
    </w:rPr>
  </w:style>
  <w:style w:type="character" w:styleId="63">
    <w:name w:val="Hyperlink"/>
    <w:basedOn w:val="58"/>
    <w:unhideWhenUsed/>
    <w:qFormat/>
    <w:uiPriority w:val="99"/>
    <w:rPr>
      <w:color w:val="0000FF" w:themeColor="hyperlink"/>
      <w:u w:val="single"/>
      <w14:textFill>
        <w14:solidFill>
          <w14:schemeClr w14:val="hlink"/>
        </w14:solidFill>
      </w14:textFill>
    </w:rPr>
  </w:style>
  <w:style w:type="character" w:styleId="64">
    <w:name w:val="annotation reference"/>
    <w:semiHidden/>
    <w:qFormat/>
    <w:uiPriority w:val="0"/>
    <w:rPr>
      <w:sz w:val="21"/>
      <w:szCs w:val="21"/>
    </w:rPr>
  </w:style>
  <w:style w:type="character" w:styleId="65">
    <w:name w:val="HTML Cite"/>
    <w:qFormat/>
    <w:uiPriority w:val="0"/>
    <w:rPr>
      <w:color w:val="008000"/>
    </w:rPr>
  </w:style>
  <w:style w:type="character" w:styleId="66">
    <w:name w:val="footnote reference"/>
    <w:semiHidden/>
    <w:qFormat/>
    <w:uiPriority w:val="0"/>
    <w:rPr>
      <w:vertAlign w:val="superscript"/>
    </w:rPr>
  </w:style>
  <w:style w:type="character" w:customStyle="1" w:styleId="67">
    <w:name w:val="页脚 字符"/>
    <w:basedOn w:val="58"/>
    <w:link w:val="32"/>
    <w:qFormat/>
    <w:uiPriority w:val="99"/>
    <w:rPr>
      <w:rFonts w:ascii="Times New Roman" w:hAnsi="Times New Roman" w:eastAsia="宋体" w:cs="Times New Roman"/>
      <w:sz w:val="18"/>
      <w:szCs w:val="18"/>
    </w:rPr>
  </w:style>
  <w:style w:type="character" w:customStyle="1" w:styleId="68">
    <w:name w:val="正文文本 字符1"/>
    <w:basedOn w:val="58"/>
    <w:link w:val="2"/>
    <w:qFormat/>
    <w:uiPriority w:val="1"/>
    <w:rPr>
      <w:rFonts w:ascii="Times New Roman" w:hAnsi="Times New Roman" w:eastAsia="宋体" w:cs="Times New Roman"/>
      <w:sz w:val="24"/>
      <w:szCs w:val="24"/>
    </w:rPr>
  </w:style>
  <w:style w:type="character" w:customStyle="1" w:styleId="69">
    <w:name w:val="标题 1 字符"/>
    <w:basedOn w:val="58"/>
    <w:link w:val="3"/>
    <w:qFormat/>
    <w:uiPriority w:val="0"/>
    <w:rPr>
      <w:rFonts w:ascii="Times New Roman" w:hAnsi="Times New Roman" w:eastAsia="宋体" w:cs="Times New Roman"/>
      <w:b/>
      <w:kern w:val="44"/>
      <w:sz w:val="32"/>
      <w:szCs w:val="24"/>
    </w:rPr>
  </w:style>
  <w:style w:type="character" w:customStyle="1" w:styleId="70">
    <w:name w:val="标题 2 字符"/>
    <w:basedOn w:val="58"/>
    <w:link w:val="4"/>
    <w:qFormat/>
    <w:uiPriority w:val="0"/>
    <w:rPr>
      <w:rFonts w:ascii="Times New Roman" w:hAnsi="Times New Roman" w:eastAsia="宋体" w:cs="Times New Roman"/>
      <w:b/>
      <w:sz w:val="30"/>
      <w:szCs w:val="24"/>
    </w:rPr>
  </w:style>
  <w:style w:type="character" w:customStyle="1" w:styleId="71">
    <w:name w:val="标题 3 字符"/>
    <w:basedOn w:val="58"/>
    <w:link w:val="5"/>
    <w:qFormat/>
    <w:uiPriority w:val="0"/>
    <w:rPr>
      <w:rFonts w:ascii="Times New Roman" w:hAnsi="Times New Roman" w:eastAsia="宋体" w:cs="Times New Roman"/>
      <w:b/>
      <w:bCs/>
      <w:sz w:val="28"/>
      <w:szCs w:val="32"/>
    </w:rPr>
  </w:style>
  <w:style w:type="character" w:customStyle="1" w:styleId="72">
    <w:name w:val="标题 4 字符"/>
    <w:basedOn w:val="58"/>
    <w:link w:val="6"/>
    <w:qFormat/>
    <w:uiPriority w:val="0"/>
    <w:rPr>
      <w:rFonts w:ascii="Times New Roman" w:hAnsi="Times New Roman" w:eastAsia="宋体" w:cs="Times New Roman"/>
      <w:b/>
      <w:sz w:val="24"/>
      <w:szCs w:val="24"/>
    </w:rPr>
  </w:style>
  <w:style w:type="character" w:customStyle="1" w:styleId="73">
    <w:name w:val="正文文本缩进 2 字符"/>
    <w:basedOn w:val="58"/>
    <w:link w:val="29"/>
    <w:qFormat/>
    <w:uiPriority w:val="0"/>
    <w:rPr>
      <w:rFonts w:ascii="Times New Roman" w:hAnsi="Times New Roman" w:eastAsia="宋体" w:cs="Times New Roman"/>
      <w:sz w:val="24"/>
      <w:szCs w:val="24"/>
    </w:rPr>
  </w:style>
  <w:style w:type="character" w:customStyle="1" w:styleId="74">
    <w:name w:val="页眉 字符"/>
    <w:basedOn w:val="58"/>
    <w:link w:val="34"/>
    <w:qFormat/>
    <w:uiPriority w:val="99"/>
    <w:rPr>
      <w:rFonts w:ascii="Times New Roman" w:hAnsi="Times New Roman" w:eastAsia="宋体" w:cs="Times New Roman"/>
      <w:sz w:val="18"/>
      <w:szCs w:val="18"/>
    </w:rPr>
  </w:style>
  <w:style w:type="paragraph" w:customStyle="1" w:styleId="75">
    <w:name w:val="Char1 Char Char Char Char Char Char"/>
    <w:basedOn w:val="1"/>
    <w:qFormat/>
    <w:uiPriority w:val="0"/>
    <w:pPr>
      <w:widowControl/>
      <w:spacing w:after="160" w:line="240" w:lineRule="exact"/>
      <w:ind w:firstLine="0" w:firstLineChars="0"/>
    </w:pPr>
    <w:rPr>
      <w:rFonts w:ascii="Verdana" w:hAnsi="Verdana"/>
      <w:kern w:val="0"/>
      <w:sz w:val="20"/>
      <w:szCs w:val="20"/>
      <w:lang w:eastAsia="en-US"/>
    </w:rPr>
  </w:style>
  <w:style w:type="paragraph" w:customStyle="1" w:styleId="76">
    <w:name w:val="表格"/>
    <w:basedOn w:val="1"/>
    <w:next w:val="1"/>
    <w:qFormat/>
    <w:uiPriority w:val="0"/>
    <w:pPr>
      <w:spacing w:line="240" w:lineRule="auto"/>
      <w:ind w:firstLine="0" w:firstLineChars="0"/>
      <w:jc w:val="center"/>
    </w:pPr>
    <w:rPr>
      <w:sz w:val="21"/>
      <w:szCs w:val="21"/>
    </w:rPr>
  </w:style>
  <w:style w:type="paragraph" w:customStyle="1" w:styleId="77">
    <w:name w:val="p0"/>
    <w:basedOn w:val="1"/>
    <w:qFormat/>
    <w:uiPriority w:val="0"/>
    <w:pPr>
      <w:widowControl/>
      <w:spacing w:before="100" w:beforeAutospacing="1" w:after="100" w:afterAutospacing="1" w:line="240" w:lineRule="auto"/>
      <w:ind w:firstLine="0" w:firstLineChars="0"/>
    </w:pPr>
    <w:rPr>
      <w:rFonts w:ascii="宋体" w:hAnsi="宋体" w:cs="宋体"/>
      <w:kern w:val="0"/>
    </w:rPr>
  </w:style>
  <w:style w:type="paragraph" w:customStyle="1" w:styleId="78">
    <w:name w:val="Table Paragraph"/>
    <w:basedOn w:val="1"/>
    <w:qFormat/>
    <w:uiPriority w:val="1"/>
    <w:pPr>
      <w:ind w:firstLine="200"/>
      <w:jc w:val="both"/>
    </w:pPr>
    <w:rPr>
      <w:rFonts w:ascii="宋体" w:hAnsi="宋体" w:cs="宋体"/>
      <w:lang w:val="zh-CN" w:bidi="zh-CN"/>
    </w:rPr>
  </w:style>
  <w:style w:type="paragraph" w:styleId="79">
    <w:name w:val="List Paragraph"/>
    <w:basedOn w:val="1"/>
    <w:qFormat/>
    <w:uiPriority w:val="1"/>
    <w:pPr>
      <w:ind w:left="820" w:hanging="703"/>
      <w:jc w:val="both"/>
    </w:pPr>
    <w:rPr>
      <w:rFonts w:ascii="宋体" w:hAnsi="宋体" w:cs="宋体"/>
      <w:lang w:val="zh-CN" w:bidi="zh-CN"/>
    </w:rPr>
  </w:style>
  <w:style w:type="character" w:customStyle="1" w:styleId="80">
    <w:name w:val="批注框文本 字符"/>
    <w:basedOn w:val="58"/>
    <w:link w:val="31"/>
    <w:qFormat/>
    <w:uiPriority w:val="0"/>
    <w:rPr>
      <w:rFonts w:ascii="Times New Roman" w:hAnsi="Times New Roman" w:eastAsia="宋体" w:cs="Times New Roman"/>
      <w:sz w:val="18"/>
      <w:szCs w:val="18"/>
    </w:rPr>
  </w:style>
  <w:style w:type="character" w:customStyle="1" w:styleId="81">
    <w:name w:val="日期 字符"/>
    <w:basedOn w:val="58"/>
    <w:link w:val="28"/>
    <w:qFormat/>
    <w:uiPriority w:val="0"/>
    <w:rPr>
      <w:rFonts w:ascii="Times New Roman" w:hAnsi="Times New Roman" w:eastAsia="宋体" w:cs="Times New Roman"/>
      <w:szCs w:val="21"/>
    </w:rPr>
  </w:style>
  <w:style w:type="paragraph" w:customStyle="1" w:styleId="82">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83">
    <w:name w:val="表内字"/>
    <w:basedOn w:val="1"/>
    <w:qFormat/>
    <w:uiPriority w:val="0"/>
    <w:pPr>
      <w:widowControl/>
      <w:spacing w:before="0" w:beforeLines="0" w:line="312" w:lineRule="auto"/>
      <w:ind w:firstLine="0" w:firstLineChars="0"/>
      <w:jc w:val="center"/>
    </w:pPr>
    <w:rPr>
      <w:color w:val="000000"/>
      <w:kern w:val="0"/>
      <w:sz w:val="21"/>
      <w:szCs w:val="21"/>
    </w:rPr>
  </w:style>
  <w:style w:type="paragraph" w:customStyle="1" w:styleId="84">
    <w:name w:val="正文体 Char"/>
    <w:basedOn w:val="1"/>
    <w:link w:val="85"/>
    <w:qFormat/>
    <w:uiPriority w:val="0"/>
    <w:pPr>
      <w:ind w:firstLine="480"/>
    </w:pPr>
    <w:rPr>
      <w:rFonts w:cs="宋体"/>
      <w:b/>
      <w:bCs/>
    </w:rPr>
  </w:style>
  <w:style w:type="character" w:customStyle="1" w:styleId="85">
    <w:name w:val="正文体 Char Char"/>
    <w:link w:val="84"/>
    <w:qFormat/>
    <w:uiPriority w:val="0"/>
    <w:rPr>
      <w:rFonts w:ascii="Times New Roman" w:hAnsi="Times New Roman" w:eastAsia="宋体" w:cs="宋体"/>
      <w:b/>
      <w:bCs/>
      <w:sz w:val="24"/>
      <w:szCs w:val="24"/>
    </w:rPr>
  </w:style>
  <w:style w:type="character" w:customStyle="1" w:styleId="86">
    <w:name w:val="正文缩进 字符"/>
    <w:link w:val="15"/>
    <w:qFormat/>
    <w:uiPriority w:val="0"/>
    <w:rPr>
      <w:rFonts w:ascii="Calibri" w:hAnsi="Calibri" w:eastAsia="宋体" w:cs="黑体"/>
      <w:szCs w:val="21"/>
    </w:rPr>
  </w:style>
  <w:style w:type="paragraph" w:customStyle="1" w:styleId="87">
    <w:name w:val="正文123"/>
    <w:basedOn w:val="1"/>
    <w:link w:val="88"/>
    <w:qFormat/>
    <w:uiPriority w:val="0"/>
    <w:pPr>
      <w:spacing w:before="0" w:beforeLines="0"/>
      <w:ind w:firstLine="480"/>
      <w:jc w:val="both"/>
    </w:pPr>
  </w:style>
  <w:style w:type="character" w:customStyle="1" w:styleId="88">
    <w:name w:val="正文123 Char"/>
    <w:link w:val="87"/>
    <w:qFormat/>
    <w:uiPriority w:val="0"/>
    <w:rPr>
      <w:rFonts w:ascii="Times New Roman" w:hAnsi="Times New Roman" w:eastAsia="宋体" w:cs="Times New Roman"/>
      <w:sz w:val="24"/>
      <w:szCs w:val="24"/>
    </w:rPr>
  </w:style>
  <w:style w:type="paragraph" w:customStyle="1" w:styleId="89">
    <w:name w:val="Char1 Char Char Char Char Char Char1"/>
    <w:basedOn w:val="1"/>
    <w:qFormat/>
    <w:uiPriority w:val="0"/>
    <w:pPr>
      <w:widowControl/>
      <w:spacing w:before="0" w:beforeLines="0" w:after="160" w:line="240" w:lineRule="exact"/>
      <w:ind w:firstLine="0" w:firstLineChars="0"/>
    </w:pPr>
    <w:rPr>
      <w:rFonts w:ascii="Verdana" w:hAnsi="Verdana"/>
      <w:kern w:val="0"/>
      <w:sz w:val="20"/>
      <w:szCs w:val="20"/>
      <w:lang w:eastAsia="en-US"/>
    </w:rPr>
  </w:style>
  <w:style w:type="paragraph" w:customStyle="1" w:styleId="90">
    <w:name w:val="列出段落1"/>
    <w:basedOn w:val="1"/>
    <w:qFormat/>
    <w:uiPriority w:val="0"/>
    <w:pPr>
      <w:spacing w:before="0" w:beforeLines="0" w:line="240" w:lineRule="auto"/>
      <w:ind w:firstLine="420" w:firstLineChars="0"/>
      <w:jc w:val="both"/>
    </w:pPr>
    <w:rPr>
      <w:sz w:val="21"/>
    </w:rPr>
  </w:style>
  <w:style w:type="paragraph" w:customStyle="1" w:styleId="91">
    <w:name w:val="正文_5"/>
    <w:qFormat/>
    <w:uiPriority w:val="0"/>
    <w:pPr>
      <w:widowControl w:val="0"/>
      <w:jc w:val="both"/>
    </w:pPr>
    <w:rPr>
      <w:rFonts w:ascii="Calibri" w:hAnsi="Calibri" w:eastAsia="宋体" w:cs="Times New Roman"/>
      <w:kern w:val="2"/>
      <w:sz w:val="21"/>
      <w:szCs w:val="24"/>
      <w:lang w:val="en-US" w:eastAsia="zh-CN" w:bidi="ar-SA"/>
    </w:rPr>
  </w:style>
  <w:style w:type="character" w:customStyle="1" w:styleId="92">
    <w:name w:val="标题 5 字符"/>
    <w:basedOn w:val="58"/>
    <w:link w:val="7"/>
    <w:qFormat/>
    <w:uiPriority w:val="0"/>
    <w:rPr>
      <w:rFonts w:ascii="Times New Roman" w:hAnsi="Times New Roman" w:eastAsia="仿宋" w:cs="Times New Roman"/>
      <w:b/>
      <w:bCs/>
      <w:kern w:val="0"/>
      <w:sz w:val="24"/>
      <w:szCs w:val="28"/>
    </w:rPr>
  </w:style>
  <w:style w:type="character" w:customStyle="1" w:styleId="93">
    <w:name w:val="标题 6 字符"/>
    <w:basedOn w:val="58"/>
    <w:link w:val="8"/>
    <w:qFormat/>
    <w:uiPriority w:val="0"/>
    <w:rPr>
      <w:rFonts w:ascii="Times New Roman" w:hAnsi="Times New Roman" w:eastAsia="仿宋" w:cs="Times New Roman"/>
      <w:i/>
      <w:iCs/>
      <w:color w:val="000000"/>
      <w:kern w:val="0"/>
      <w:sz w:val="30"/>
      <w:szCs w:val="30"/>
    </w:rPr>
  </w:style>
  <w:style w:type="character" w:customStyle="1" w:styleId="94">
    <w:name w:val="标题 7 字符"/>
    <w:basedOn w:val="58"/>
    <w:link w:val="9"/>
    <w:qFormat/>
    <w:uiPriority w:val="0"/>
    <w:rPr>
      <w:rFonts w:ascii="Times New Roman" w:hAnsi="Times New Roman" w:eastAsia="仿宋" w:cs="Times New Roman"/>
      <w:i/>
      <w:iCs/>
      <w:color w:val="000000"/>
      <w:kern w:val="0"/>
      <w:sz w:val="15"/>
      <w:szCs w:val="18"/>
    </w:rPr>
  </w:style>
  <w:style w:type="character" w:customStyle="1" w:styleId="95">
    <w:name w:val="标题 8 字符"/>
    <w:basedOn w:val="58"/>
    <w:link w:val="10"/>
    <w:qFormat/>
    <w:uiPriority w:val="0"/>
    <w:rPr>
      <w:rFonts w:ascii="Arial" w:hAnsi="Arial" w:eastAsia="黑体" w:cs="Times New Roman"/>
      <w:kern w:val="0"/>
      <w:sz w:val="24"/>
      <w:szCs w:val="20"/>
    </w:rPr>
  </w:style>
  <w:style w:type="character" w:customStyle="1" w:styleId="96">
    <w:name w:val="标题 9 字符"/>
    <w:basedOn w:val="58"/>
    <w:link w:val="11"/>
    <w:qFormat/>
    <w:uiPriority w:val="0"/>
    <w:rPr>
      <w:rFonts w:ascii="Arial" w:hAnsi="Arial" w:eastAsia="黑体" w:cs="Times New Roman"/>
      <w:kern w:val="0"/>
      <w:sz w:val="28"/>
      <w:szCs w:val="20"/>
    </w:rPr>
  </w:style>
  <w:style w:type="paragraph" w:customStyle="1" w:styleId="97">
    <w:name w:val="封面项目名称EPAJW120926"/>
    <w:basedOn w:val="1"/>
    <w:qFormat/>
    <w:uiPriority w:val="0"/>
    <w:pPr>
      <w:autoSpaceDE w:val="0"/>
      <w:autoSpaceDN w:val="0"/>
      <w:spacing w:before="156" w:beforeLines="0" w:after="156"/>
      <w:ind w:firstLine="420"/>
      <w:jc w:val="center"/>
    </w:pPr>
    <w:rPr>
      <w:rFonts w:ascii="宋体" w:hAnsi="宋体" w:cs="宋体"/>
      <w:b/>
      <w:bCs/>
      <w:kern w:val="0"/>
      <w:sz w:val="44"/>
      <w:szCs w:val="22"/>
      <w:lang w:val="zh-CN" w:bidi="zh-CN"/>
    </w:rPr>
  </w:style>
  <w:style w:type="paragraph" w:customStyle="1" w:styleId="98">
    <w:name w:val="简单回函地址"/>
    <w:basedOn w:val="1"/>
    <w:qFormat/>
    <w:uiPriority w:val="0"/>
    <w:pPr>
      <w:autoSpaceDE w:val="0"/>
      <w:autoSpaceDN w:val="0"/>
      <w:spacing w:before="0" w:beforeLines="0" w:line="240" w:lineRule="auto"/>
      <w:ind w:firstLine="0" w:firstLineChars="0"/>
    </w:pPr>
    <w:rPr>
      <w:rFonts w:ascii="宋体" w:hAnsi="宋体" w:cs="宋体"/>
      <w:kern w:val="0"/>
      <w:szCs w:val="32"/>
      <w:lang w:val="zh-CN" w:bidi="zh-CN"/>
    </w:rPr>
  </w:style>
  <w:style w:type="table" w:customStyle="1" w:styleId="99">
    <w:name w:val="Table Normal"/>
    <w:unhideWhenUsed/>
    <w:qFormat/>
    <w:uiPriority w:val="2"/>
    <w:rPr>
      <w:rFonts w:ascii="Times New Roman" w:hAnsi="Times New Roman" w:eastAsia="宋体" w:cs="Times New Roman"/>
      <w:kern w:val="0"/>
      <w:sz w:val="20"/>
      <w:szCs w:val="20"/>
    </w:rPr>
    <w:tblPr>
      <w:tblCellMar>
        <w:top w:w="0" w:type="dxa"/>
        <w:left w:w="0" w:type="dxa"/>
        <w:bottom w:w="0" w:type="dxa"/>
        <w:right w:w="0" w:type="dxa"/>
      </w:tblCellMar>
    </w:tblPr>
  </w:style>
  <w:style w:type="character" w:customStyle="1" w:styleId="100">
    <w:name w:val="正文文本 2 字符"/>
    <w:basedOn w:val="58"/>
    <w:link w:val="46"/>
    <w:qFormat/>
    <w:uiPriority w:val="0"/>
    <w:rPr>
      <w:rFonts w:ascii="宋体" w:hAnsi="宋体" w:eastAsia="宋体" w:cs="宋体"/>
      <w:kern w:val="0"/>
      <w:sz w:val="22"/>
      <w:lang w:val="zh-CN" w:bidi="zh-CN"/>
    </w:rPr>
  </w:style>
  <w:style w:type="character" w:customStyle="1" w:styleId="101">
    <w:name w:val="标题 2 Char1"/>
    <w:qFormat/>
    <w:uiPriority w:val="0"/>
    <w:rPr>
      <w:rFonts w:ascii="Cambria" w:hAnsi="Cambria" w:eastAsia="宋体" w:cs="Times New Roman"/>
      <w:b/>
      <w:bCs/>
      <w:sz w:val="32"/>
      <w:szCs w:val="32"/>
      <w:lang w:val="zh-CN" w:bidi="zh-CN"/>
    </w:rPr>
  </w:style>
  <w:style w:type="character" w:customStyle="1" w:styleId="102">
    <w:name w:val="日期 Char1"/>
    <w:qFormat/>
    <w:uiPriority w:val="0"/>
    <w:rPr>
      <w:rFonts w:ascii="宋体" w:hAnsi="宋体" w:cs="宋体"/>
      <w:sz w:val="22"/>
      <w:szCs w:val="22"/>
      <w:lang w:val="zh-CN" w:bidi="zh-CN"/>
    </w:rPr>
  </w:style>
  <w:style w:type="paragraph" w:customStyle="1" w:styleId="103">
    <w:name w:val="Char"/>
    <w:basedOn w:val="1"/>
    <w:qFormat/>
    <w:uiPriority w:val="0"/>
    <w:pPr>
      <w:spacing w:before="0" w:beforeLines="0" w:line="240" w:lineRule="auto"/>
      <w:ind w:firstLine="0" w:firstLineChars="0"/>
      <w:jc w:val="both"/>
    </w:pPr>
    <w:rPr>
      <w:rFonts w:ascii="宋体" w:hAnsi="宋体" w:cs="Courier New"/>
      <w:sz w:val="32"/>
      <w:szCs w:val="32"/>
    </w:rPr>
  </w:style>
  <w:style w:type="character" w:customStyle="1" w:styleId="104">
    <w:name w:val="页眉 Char1"/>
    <w:qFormat/>
    <w:uiPriority w:val="99"/>
    <w:rPr>
      <w:rFonts w:cs="宋体"/>
      <w:sz w:val="18"/>
      <w:szCs w:val="22"/>
      <w:lang w:val="zh-CN" w:bidi="zh-CN"/>
    </w:rPr>
  </w:style>
  <w:style w:type="paragraph" w:customStyle="1" w:styleId="105">
    <w:name w:val="表头"/>
    <w:basedOn w:val="1"/>
    <w:link w:val="106"/>
    <w:qFormat/>
    <w:uiPriority w:val="0"/>
    <w:pPr>
      <w:spacing w:before="0" w:beforeLines="0"/>
      <w:ind w:firstLine="560"/>
      <w:jc w:val="center"/>
    </w:pPr>
    <w:rPr>
      <w:rFonts w:eastAsia="仿宋_GB2312"/>
      <w:b/>
    </w:rPr>
  </w:style>
  <w:style w:type="character" w:customStyle="1" w:styleId="106">
    <w:name w:val="表头 Char Char"/>
    <w:link w:val="105"/>
    <w:qFormat/>
    <w:uiPriority w:val="0"/>
    <w:rPr>
      <w:rFonts w:ascii="Times New Roman" w:hAnsi="Times New Roman" w:eastAsia="仿宋_GB2312" w:cs="Times New Roman"/>
      <w:b/>
      <w:sz w:val="24"/>
      <w:szCs w:val="24"/>
    </w:rPr>
  </w:style>
  <w:style w:type="character" w:customStyle="1" w:styleId="107">
    <w:name w:val="4正文 Char Char"/>
    <w:link w:val="108"/>
    <w:qFormat/>
    <w:uiPriority w:val="0"/>
    <w:rPr>
      <w:sz w:val="24"/>
    </w:rPr>
  </w:style>
  <w:style w:type="paragraph" w:customStyle="1" w:styleId="108">
    <w:name w:val="4正文"/>
    <w:basedOn w:val="1"/>
    <w:link w:val="107"/>
    <w:qFormat/>
    <w:uiPriority w:val="0"/>
    <w:pPr>
      <w:spacing w:before="0" w:beforeLines="0"/>
      <w:ind w:firstLine="200"/>
      <w:jc w:val="both"/>
    </w:pPr>
    <w:rPr>
      <w:rFonts w:asciiTheme="minorHAnsi" w:hAnsiTheme="minorHAnsi" w:eastAsiaTheme="minorEastAsia" w:cstheme="minorBidi"/>
      <w:szCs w:val="22"/>
    </w:rPr>
  </w:style>
  <w:style w:type="paragraph" w:customStyle="1" w:styleId="109">
    <w:name w:val="TOC Heading"/>
    <w:basedOn w:val="3"/>
    <w:next w:val="1"/>
    <w:semiHidden/>
    <w:unhideWhenUsed/>
    <w:qFormat/>
    <w:uiPriority w:val="39"/>
    <w:pPr>
      <w:widowControl/>
      <w:spacing w:before="480" w:line="276" w:lineRule="auto"/>
      <w:ind w:left="0" w:firstLine="0" w:firstLineChars="0"/>
      <w:jc w:val="left"/>
      <w:outlineLvl w:val="9"/>
    </w:pPr>
    <w:rPr>
      <w:rFonts w:ascii="Cambria" w:hAnsi="Cambria"/>
      <w:bCs/>
      <w:color w:val="365F91"/>
      <w:kern w:val="0"/>
      <w:sz w:val="28"/>
      <w:szCs w:val="28"/>
    </w:rPr>
  </w:style>
  <w:style w:type="character" w:customStyle="1" w:styleId="110">
    <w:name w:val="页脚 Char2"/>
    <w:qFormat/>
    <w:uiPriority w:val="99"/>
    <w:rPr>
      <w:rFonts w:ascii="宋体" w:hAnsi="宋体" w:cs="宋体"/>
      <w:sz w:val="18"/>
      <w:szCs w:val="22"/>
      <w:lang w:val="zh-CN" w:bidi="zh-CN"/>
    </w:rPr>
  </w:style>
  <w:style w:type="paragraph" w:customStyle="1" w:styleId="111">
    <w:name w:val="Char1"/>
    <w:basedOn w:val="1"/>
    <w:qFormat/>
    <w:uiPriority w:val="0"/>
    <w:pPr>
      <w:spacing w:before="0" w:beforeLines="0"/>
      <w:ind w:firstLine="200"/>
      <w:jc w:val="both"/>
    </w:pPr>
    <w:rPr>
      <w:rFonts w:ascii="@仿宋_GB2312" w:hAnsi="@仿宋_GB2312" w:eastAsia="Cambria Math" w:cs="Cambria Math"/>
      <w:kern w:val="0"/>
      <w:szCs w:val="20"/>
    </w:rPr>
  </w:style>
  <w:style w:type="paragraph" w:customStyle="1" w:styleId="112">
    <w:name w:val="报告书正文"/>
    <w:basedOn w:val="1"/>
    <w:link w:val="474"/>
    <w:qFormat/>
    <w:uiPriority w:val="0"/>
    <w:pPr>
      <w:adjustRightInd w:val="0"/>
      <w:snapToGrid w:val="0"/>
      <w:ind w:firstLine="425"/>
      <w:textAlignment w:val="baseline"/>
    </w:pPr>
    <w:rPr>
      <w:rFonts w:ascii="Arial" w:hAnsi="Arial"/>
      <w:kern w:val="0"/>
    </w:rPr>
  </w:style>
  <w:style w:type="character" w:customStyle="1" w:styleId="113">
    <w:name w:val="注释标题 字符"/>
    <w:basedOn w:val="58"/>
    <w:link w:val="13"/>
    <w:qFormat/>
    <w:uiPriority w:val="0"/>
    <w:rPr>
      <w:rFonts w:ascii="宋体" w:hAnsi="Times New Roman" w:eastAsia="仿宋" w:cs="Times New Roman"/>
      <w:kern w:val="0"/>
      <w:sz w:val="28"/>
      <w:szCs w:val="20"/>
    </w:rPr>
  </w:style>
  <w:style w:type="character" w:customStyle="1" w:styleId="114">
    <w:name w:val="正文文本缩进 字符"/>
    <w:basedOn w:val="58"/>
    <w:link w:val="21"/>
    <w:qFormat/>
    <w:uiPriority w:val="0"/>
    <w:rPr>
      <w:rFonts w:ascii="宋体" w:hAnsi="宋体" w:eastAsia="宋体" w:cs="宋体"/>
      <w:kern w:val="0"/>
      <w:sz w:val="22"/>
      <w:lang w:val="zh-CN" w:bidi="zh-CN"/>
    </w:rPr>
  </w:style>
  <w:style w:type="character" w:customStyle="1" w:styleId="115">
    <w:name w:val="正文首行缩进 2 字符"/>
    <w:basedOn w:val="114"/>
    <w:link w:val="53"/>
    <w:qFormat/>
    <w:uiPriority w:val="0"/>
    <w:rPr>
      <w:rFonts w:ascii="宋体" w:hAnsi="宋体" w:eastAsia="仿宋" w:cs="宋体"/>
      <w:kern w:val="0"/>
      <w:sz w:val="22"/>
      <w:szCs w:val="28"/>
      <w:lang w:val="zh-CN" w:bidi="zh-CN"/>
    </w:rPr>
  </w:style>
  <w:style w:type="character" w:customStyle="1" w:styleId="116">
    <w:name w:val="题注 字符"/>
    <w:link w:val="16"/>
    <w:qFormat/>
    <w:uiPriority w:val="0"/>
    <w:rPr>
      <w:rFonts w:ascii="Times New Roman" w:hAnsi="Times New Roman" w:eastAsia="仿宋_GB2312" w:cs="Times New Roman"/>
      <w:b/>
      <w:bCs/>
      <w:kern w:val="0"/>
      <w:sz w:val="28"/>
      <w:szCs w:val="28"/>
      <w:lang w:val="zh-CN"/>
    </w:rPr>
  </w:style>
  <w:style w:type="character" w:customStyle="1" w:styleId="117">
    <w:name w:val="文档结构图 字符"/>
    <w:basedOn w:val="58"/>
    <w:link w:val="17"/>
    <w:semiHidden/>
    <w:qFormat/>
    <w:uiPriority w:val="0"/>
    <w:rPr>
      <w:rFonts w:ascii="Times New Roman" w:hAnsi="Times New Roman" w:eastAsia="仿宋" w:cs="Times New Roman"/>
      <w:szCs w:val="28"/>
      <w:shd w:val="clear" w:color="auto" w:fill="000080"/>
    </w:rPr>
  </w:style>
  <w:style w:type="character" w:customStyle="1" w:styleId="118">
    <w:name w:val="批注文字 Char"/>
    <w:basedOn w:val="58"/>
    <w:qFormat/>
    <w:uiPriority w:val="99"/>
    <w:rPr>
      <w:rFonts w:ascii="Times New Roman" w:hAnsi="Times New Roman" w:eastAsia="宋体" w:cs="Times New Roman"/>
      <w:sz w:val="24"/>
      <w:szCs w:val="24"/>
    </w:rPr>
  </w:style>
  <w:style w:type="character" w:customStyle="1" w:styleId="119">
    <w:name w:val="批注文字 字符1"/>
    <w:basedOn w:val="58"/>
    <w:link w:val="19"/>
    <w:semiHidden/>
    <w:qFormat/>
    <w:uiPriority w:val="0"/>
    <w:rPr>
      <w:rFonts w:ascii="Times New Roman" w:hAnsi="Times New Roman" w:eastAsia="仿宋" w:cs="Times New Roman"/>
      <w:szCs w:val="28"/>
    </w:rPr>
  </w:style>
  <w:style w:type="character" w:customStyle="1" w:styleId="120">
    <w:name w:val="正文文本 3 字符"/>
    <w:basedOn w:val="58"/>
    <w:link w:val="20"/>
    <w:qFormat/>
    <w:uiPriority w:val="0"/>
    <w:rPr>
      <w:rFonts w:ascii="Times New Roman" w:hAnsi="Times New Roman" w:eastAsia="仿宋" w:cs="Times New Roman"/>
      <w:kern w:val="0"/>
      <w:sz w:val="16"/>
      <w:szCs w:val="16"/>
    </w:rPr>
  </w:style>
  <w:style w:type="character" w:customStyle="1" w:styleId="121">
    <w:name w:val="正文文本 字符"/>
    <w:qFormat/>
    <w:uiPriority w:val="0"/>
    <w:rPr>
      <w:rFonts w:eastAsia="宋体"/>
      <w:kern w:val="2"/>
      <w:sz w:val="24"/>
      <w:lang w:val="en-US" w:eastAsia="zh-CN" w:bidi="ar-SA"/>
    </w:rPr>
  </w:style>
  <w:style w:type="character" w:customStyle="1" w:styleId="122">
    <w:name w:val="纯文本 字符"/>
    <w:basedOn w:val="58"/>
    <w:link w:val="26"/>
    <w:qFormat/>
    <w:uiPriority w:val="0"/>
    <w:rPr>
      <w:rFonts w:ascii="宋体" w:hAnsi="Tms Rmn" w:eastAsia="仿宋" w:cs="Times New Roman"/>
      <w:kern w:val="0"/>
      <w:sz w:val="28"/>
      <w:szCs w:val="20"/>
    </w:rPr>
  </w:style>
  <w:style w:type="character" w:customStyle="1" w:styleId="123">
    <w:name w:val="尾注文本 字符"/>
    <w:basedOn w:val="58"/>
    <w:link w:val="30"/>
    <w:qFormat/>
    <w:uiPriority w:val="0"/>
    <w:rPr>
      <w:rFonts w:ascii="Times New Roman" w:hAnsi="Times New Roman" w:eastAsia="华文新魏" w:cs="Times New Roman"/>
      <w:szCs w:val="28"/>
    </w:rPr>
  </w:style>
  <w:style w:type="character" w:customStyle="1" w:styleId="124">
    <w:name w:val="脚注文本 字符"/>
    <w:basedOn w:val="58"/>
    <w:link w:val="39"/>
    <w:semiHidden/>
    <w:qFormat/>
    <w:uiPriority w:val="0"/>
    <w:rPr>
      <w:rFonts w:ascii="宋体" w:hAnsi="Times New Roman" w:eastAsia="宋体" w:cs="Times New Roman"/>
      <w:kern w:val="0"/>
      <w:sz w:val="20"/>
      <w:szCs w:val="24"/>
    </w:rPr>
  </w:style>
  <w:style w:type="character" w:customStyle="1" w:styleId="125">
    <w:name w:val="Default Char"/>
    <w:link w:val="40"/>
    <w:qFormat/>
    <w:locked/>
    <w:uiPriority w:val="0"/>
    <w:rPr>
      <w:rFonts w:ascii="宋体" w:hAnsi="Times New Roman" w:eastAsia="宋体" w:cs="Times New Roman"/>
      <w:color w:val="000000"/>
      <w:kern w:val="0"/>
      <w:sz w:val="24"/>
      <w:szCs w:val="24"/>
    </w:rPr>
  </w:style>
  <w:style w:type="character" w:customStyle="1" w:styleId="126">
    <w:name w:val="正文文本缩进 3 字符"/>
    <w:basedOn w:val="58"/>
    <w:link w:val="42"/>
    <w:qFormat/>
    <w:uiPriority w:val="0"/>
    <w:rPr>
      <w:rFonts w:ascii="仿宋_GB2312" w:hAnsi="Times New Roman" w:eastAsia="仿宋_GB2312" w:cs="Times New Roman"/>
      <w:sz w:val="28"/>
      <w:szCs w:val="28"/>
    </w:rPr>
  </w:style>
  <w:style w:type="character" w:customStyle="1" w:styleId="127">
    <w:name w:val="HTML 预设格式 字符"/>
    <w:basedOn w:val="58"/>
    <w:link w:val="47"/>
    <w:qFormat/>
    <w:uiPriority w:val="0"/>
    <w:rPr>
      <w:rFonts w:ascii="Arial" w:hAnsi="Arial" w:eastAsia="仿宋" w:cs="Arial"/>
      <w:kern w:val="0"/>
      <w:sz w:val="28"/>
      <w:szCs w:val="21"/>
    </w:rPr>
  </w:style>
  <w:style w:type="character" w:customStyle="1" w:styleId="128">
    <w:name w:val="标题 Char"/>
    <w:basedOn w:val="58"/>
    <w:qFormat/>
    <w:uiPriority w:val="0"/>
    <w:rPr>
      <w:rFonts w:eastAsia="宋体" w:asciiTheme="majorHAnsi" w:hAnsiTheme="majorHAnsi" w:cstheme="majorBidi"/>
      <w:b/>
      <w:bCs/>
      <w:sz w:val="32"/>
      <w:szCs w:val="32"/>
    </w:rPr>
  </w:style>
  <w:style w:type="character" w:customStyle="1" w:styleId="129">
    <w:name w:val="标题 字符"/>
    <w:basedOn w:val="58"/>
    <w:link w:val="50"/>
    <w:qFormat/>
    <w:uiPriority w:val="0"/>
    <w:rPr>
      <w:rFonts w:ascii="Arial" w:hAnsi="Arial" w:eastAsia="黑体" w:cs="Arial"/>
      <w:b/>
      <w:bCs/>
      <w:sz w:val="32"/>
      <w:szCs w:val="32"/>
    </w:rPr>
  </w:style>
  <w:style w:type="character" w:customStyle="1" w:styleId="130">
    <w:name w:val="批注主题 字符"/>
    <w:basedOn w:val="118"/>
    <w:link w:val="51"/>
    <w:semiHidden/>
    <w:qFormat/>
    <w:uiPriority w:val="0"/>
    <w:rPr>
      <w:rFonts w:ascii="Times New Roman" w:hAnsi="Times New Roman" w:eastAsia="仿宋" w:cs="Times New Roman"/>
      <w:b/>
      <w:bCs/>
      <w:sz w:val="24"/>
      <w:szCs w:val="28"/>
    </w:rPr>
  </w:style>
  <w:style w:type="character" w:customStyle="1" w:styleId="131">
    <w:name w:val="正文首行缩进 字符"/>
    <w:basedOn w:val="68"/>
    <w:link w:val="52"/>
    <w:qFormat/>
    <w:uiPriority w:val="0"/>
    <w:rPr>
      <w:rFonts w:ascii="Times New Roman" w:hAnsi="Times New Roman" w:eastAsia="仿宋" w:cs="Times New Roman"/>
      <w:sz w:val="28"/>
      <w:szCs w:val="24"/>
    </w:rPr>
  </w:style>
  <w:style w:type="character" w:customStyle="1" w:styleId="132">
    <w:name w:val="正文文本 Char1"/>
    <w:basedOn w:val="58"/>
    <w:qFormat/>
    <w:uiPriority w:val="0"/>
    <w:rPr>
      <w:rFonts w:ascii="宋体" w:hAnsi="宋体" w:cs="宋体"/>
      <w:sz w:val="24"/>
      <w:szCs w:val="24"/>
      <w:lang w:val="zh-CN" w:bidi="zh-CN"/>
    </w:rPr>
  </w:style>
  <w:style w:type="character" w:customStyle="1" w:styleId="133">
    <w:name w:val="Char Char24"/>
    <w:qFormat/>
    <w:uiPriority w:val="0"/>
    <w:rPr>
      <w:rFonts w:eastAsia="仿宋_GB2312"/>
      <w:sz w:val="18"/>
      <w:szCs w:val="18"/>
    </w:rPr>
  </w:style>
  <w:style w:type="character" w:customStyle="1" w:styleId="134">
    <w:name w:val="正文文字缩进 Char"/>
    <w:qFormat/>
    <w:uiPriority w:val="0"/>
    <w:rPr>
      <w:kern w:val="2"/>
      <w:sz w:val="21"/>
      <w:szCs w:val="24"/>
    </w:rPr>
  </w:style>
  <w:style w:type="character" w:customStyle="1" w:styleId="135">
    <w:name w:val="批注主题 Char1"/>
    <w:semiHidden/>
    <w:qFormat/>
    <w:uiPriority w:val="0"/>
    <w:rPr>
      <w:rFonts w:eastAsia="仿宋_GB2312"/>
      <w:b/>
      <w:bCs/>
      <w:kern w:val="2"/>
      <w:sz w:val="21"/>
      <w:szCs w:val="24"/>
    </w:rPr>
  </w:style>
  <w:style w:type="character" w:customStyle="1" w:styleId="136">
    <w:name w:val="页眉1 Char1"/>
    <w:qFormat/>
    <w:uiPriority w:val="0"/>
    <w:rPr>
      <w:sz w:val="18"/>
      <w:szCs w:val="18"/>
    </w:rPr>
  </w:style>
  <w:style w:type="character" w:customStyle="1" w:styleId="137">
    <w:name w:val="正文改 Char"/>
    <w:link w:val="138"/>
    <w:qFormat/>
    <w:locked/>
    <w:uiPriority w:val="0"/>
    <w:rPr>
      <w:rFonts w:ascii="宋体" w:hAnsi="宋体"/>
      <w:sz w:val="22"/>
    </w:rPr>
  </w:style>
  <w:style w:type="paragraph" w:customStyle="1" w:styleId="138">
    <w:name w:val="正文改"/>
    <w:basedOn w:val="1"/>
    <w:link w:val="137"/>
    <w:qFormat/>
    <w:uiPriority w:val="0"/>
    <w:pPr>
      <w:spacing w:before="0" w:beforeLines="0" w:line="560" w:lineRule="exact"/>
      <w:ind w:firstLine="560"/>
      <w:jc w:val="both"/>
    </w:pPr>
    <w:rPr>
      <w:rFonts w:ascii="宋体" w:hAnsi="宋体" w:eastAsiaTheme="minorEastAsia" w:cstheme="minorBidi"/>
      <w:sz w:val="22"/>
      <w:szCs w:val="22"/>
    </w:rPr>
  </w:style>
  <w:style w:type="character" w:customStyle="1" w:styleId="139">
    <w:name w:val="style11"/>
    <w:qFormat/>
    <w:uiPriority w:val="0"/>
    <w:rPr>
      <w:sz w:val="18"/>
      <w:szCs w:val="18"/>
    </w:rPr>
  </w:style>
  <w:style w:type="character" w:customStyle="1" w:styleId="140">
    <w:name w:val="图表文字 Char"/>
    <w:link w:val="141"/>
    <w:qFormat/>
    <w:uiPriority w:val="0"/>
    <w:rPr>
      <w:rFonts w:ascii="仿宋_GB2312" w:eastAsia="仿宋_GB2312"/>
      <w:szCs w:val="24"/>
    </w:rPr>
  </w:style>
  <w:style w:type="paragraph" w:customStyle="1" w:styleId="141">
    <w:name w:val="图表文字"/>
    <w:basedOn w:val="1"/>
    <w:link w:val="140"/>
    <w:qFormat/>
    <w:uiPriority w:val="0"/>
    <w:pPr>
      <w:spacing w:before="0" w:beforeLines="0"/>
      <w:ind w:firstLine="480"/>
      <w:jc w:val="center"/>
    </w:pPr>
    <w:rPr>
      <w:rFonts w:ascii="仿宋_GB2312" w:eastAsia="仿宋_GB2312" w:hAnsiTheme="minorHAnsi" w:cstheme="minorBidi"/>
      <w:sz w:val="21"/>
    </w:rPr>
  </w:style>
  <w:style w:type="character" w:customStyle="1" w:styleId="142">
    <w:name w:val="font11"/>
    <w:basedOn w:val="58"/>
    <w:qFormat/>
    <w:uiPriority w:val="0"/>
    <w:rPr>
      <w:rFonts w:hint="eastAsia" w:ascii="宋体" w:hAnsi="宋体" w:eastAsia="宋体" w:cs="宋体"/>
      <w:color w:val="000000"/>
      <w:sz w:val="22"/>
      <w:szCs w:val="22"/>
      <w:u w:val="none"/>
    </w:rPr>
  </w:style>
  <w:style w:type="character" w:customStyle="1" w:styleId="143">
    <w:name w:val="first-child"/>
    <w:qFormat/>
    <w:uiPriority w:val="0"/>
  </w:style>
  <w:style w:type="character" w:customStyle="1" w:styleId="144">
    <w:name w:val="zjgblk1"/>
    <w:qFormat/>
    <w:uiPriority w:val="0"/>
    <w:rPr>
      <w:rFonts w:hint="default"/>
      <w:color w:val="000000"/>
      <w:sz w:val="18"/>
      <w:szCs w:val="18"/>
      <w:u w:val="none"/>
    </w:rPr>
  </w:style>
  <w:style w:type="character" w:customStyle="1" w:styleId="145">
    <w:name w:val="页脚 Char1"/>
    <w:semiHidden/>
    <w:qFormat/>
    <w:uiPriority w:val="99"/>
    <w:rPr>
      <w:rFonts w:hint="eastAsia" w:ascii="仿宋_GB2312" w:eastAsia="仿宋_GB2312" w:cs="宋体"/>
      <w:kern w:val="2"/>
      <w:sz w:val="18"/>
      <w:szCs w:val="18"/>
    </w:rPr>
  </w:style>
  <w:style w:type="character" w:customStyle="1" w:styleId="146">
    <w:name w:val="font81"/>
    <w:basedOn w:val="58"/>
    <w:qFormat/>
    <w:uiPriority w:val="0"/>
    <w:rPr>
      <w:rFonts w:hint="eastAsia" w:ascii="宋体" w:hAnsi="宋体" w:eastAsia="宋体" w:cs="宋体"/>
      <w:color w:val="000000"/>
      <w:sz w:val="18"/>
      <w:szCs w:val="18"/>
      <w:u w:val="none"/>
    </w:rPr>
  </w:style>
  <w:style w:type="character" w:customStyle="1" w:styleId="147">
    <w:name w:val="环表头 Char1"/>
    <w:qFormat/>
    <w:uiPriority w:val="0"/>
    <w:rPr>
      <w:rFonts w:hint="eastAsia" w:ascii="仿宋_GB2312" w:eastAsia="仿宋_GB2312"/>
      <w:b/>
      <w:sz w:val="28"/>
      <w:lang w:val="en-US" w:eastAsia="zh-CN"/>
    </w:rPr>
  </w:style>
  <w:style w:type="character" w:customStyle="1" w:styleId="148">
    <w:name w:val="谏壁正文chen Char"/>
    <w:link w:val="149"/>
    <w:qFormat/>
    <w:locked/>
    <w:uiPriority w:val="0"/>
    <w:rPr>
      <w:sz w:val="24"/>
    </w:rPr>
  </w:style>
  <w:style w:type="paragraph" w:customStyle="1" w:styleId="149">
    <w:name w:val="谏壁正文chen"/>
    <w:basedOn w:val="1"/>
    <w:link w:val="148"/>
    <w:qFormat/>
    <w:uiPriority w:val="0"/>
    <w:pPr>
      <w:spacing w:before="0" w:beforeLines="0"/>
      <w:ind w:firstLine="200"/>
      <w:jc w:val="both"/>
    </w:pPr>
    <w:rPr>
      <w:rFonts w:asciiTheme="minorHAnsi" w:hAnsiTheme="minorHAnsi" w:eastAsiaTheme="minorEastAsia" w:cstheme="minorBidi"/>
      <w:szCs w:val="22"/>
    </w:rPr>
  </w:style>
  <w:style w:type="character" w:customStyle="1" w:styleId="150">
    <w:name w:val="正文 Char"/>
    <w:qFormat/>
    <w:uiPriority w:val="0"/>
    <w:rPr>
      <w:rFonts w:ascii="仿宋_GB2312" w:hAnsi="宋体" w:eastAsia="仿宋_GB2312"/>
      <w:color w:val="000000"/>
      <w:kern w:val="2"/>
      <w:sz w:val="28"/>
      <w:szCs w:val="24"/>
      <w:lang w:val="en-US" w:eastAsia="zh-CN" w:bidi="ar-SA"/>
    </w:rPr>
  </w:style>
  <w:style w:type="character" w:customStyle="1" w:styleId="151">
    <w:name w:val="正文文本缩进 Char1"/>
    <w:semiHidden/>
    <w:qFormat/>
    <w:uiPriority w:val="0"/>
    <w:rPr>
      <w:rFonts w:eastAsia="仿宋_GB2312"/>
      <w:kern w:val="2"/>
      <w:sz w:val="21"/>
      <w:szCs w:val="24"/>
    </w:rPr>
  </w:style>
  <w:style w:type="character" w:customStyle="1" w:styleId="152">
    <w:name w:val="段 Char"/>
    <w:link w:val="153"/>
    <w:qFormat/>
    <w:uiPriority w:val="0"/>
    <w:rPr>
      <w:rFonts w:ascii="宋体"/>
    </w:rPr>
  </w:style>
  <w:style w:type="paragraph" w:customStyle="1" w:styleId="153">
    <w:name w:val="段"/>
    <w:link w:val="152"/>
    <w:qFormat/>
    <w:uiPriority w:val="0"/>
    <w:pPr>
      <w:autoSpaceDE w:val="0"/>
      <w:autoSpaceDN w:val="0"/>
      <w:ind w:firstLine="200" w:firstLineChars="200"/>
      <w:jc w:val="both"/>
    </w:pPr>
    <w:rPr>
      <w:rFonts w:ascii="宋体" w:hAnsiTheme="minorHAnsi" w:eastAsiaTheme="minorEastAsia" w:cstheme="minorBidi"/>
      <w:kern w:val="2"/>
      <w:sz w:val="21"/>
      <w:szCs w:val="22"/>
      <w:lang w:val="en-US" w:eastAsia="zh-CN" w:bidi="ar-SA"/>
    </w:rPr>
  </w:style>
  <w:style w:type="character" w:customStyle="1" w:styleId="154">
    <w:name w:val="Char4 Char Char"/>
    <w:qFormat/>
    <w:locked/>
    <w:uiPriority w:val="0"/>
    <w:rPr>
      <w:rFonts w:hint="eastAsia" w:ascii="宋体" w:hAnsi="宋体" w:eastAsia="宋体" w:cs="宋体"/>
      <w:kern w:val="2"/>
      <w:sz w:val="18"/>
    </w:rPr>
  </w:style>
  <w:style w:type="character" w:customStyle="1" w:styleId="155">
    <w:name w:val="title4"/>
    <w:qFormat/>
    <w:uiPriority w:val="0"/>
    <w:rPr>
      <w:rFonts w:hint="eastAsia" w:ascii="宋体" w:hAnsi="宋体" w:eastAsia="宋体" w:cs="宋体"/>
    </w:rPr>
  </w:style>
  <w:style w:type="character" w:customStyle="1" w:styleId="156">
    <w:name w:val="dectext1"/>
    <w:qFormat/>
    <w:uiPriority w:val="0"/>
    <w:rPr>
      <w:rFonts w:hint="eastAsia" w:ascii="宋体" w:hAnsi="宋体" w:eastAsia="宋体"/>
      <w:color w:val="333333"/>
      <w:sz w:val="21"/>
      <w:szCs w:val="21"/>
      <w:u w:val="none"/>
    </w:rPr>
  </w:style>
  <w:style w:type="character" w:customStyle="1" w:styleId="157">
    <w:name w:val="px141"/>
    <w:qFormat/>
    <w:uiPriority w:val="0"/>
    <w:rPr>
      <w:rFonts w:hint="default"/>
      <w:sz w:val="21"/>
      <w:szCs w:val="21"/>
    </w:rPr>
  </w:style>
  <w:style w:type="character" w:customStyle="1" w:styleId="158">
    <w:name w:val="表格的文字 Char"/>
    <w:link w:val="159"/>
    <w:qFormat/>
    <w:uiPriority w:val="0"/>
    <w:rPr>
      <w:rFonts w:ascii="仿宋_GB2312" w:eastAsia="仿宋_GB2312"/>
      <w:bCs/>
      <w:szCs w:val="24"/>
    </w:rPr>
  </w:style>
  <w:style w:type="paragraph" w:customStyle="1" w:styleId="159">
    <w:name w:val="表格的文字"/>
    <w:basedOn w:val="141"/>
    <w:link w:val="158"/>
    <w:qFormat/>
    <w:uiPriority w:val="0"/>
    <w:pPr>
      <w:spacing w:line="300" w:lineRule="exact"/>
    </w:pPr>
    <w:rPr>
      <w:bCs/>
    </w:rPr>
  </w:style>
  <w:style w:type="character" w:customStyle="1" w:styleId="160">
    <w:name w:val="Char Char10"/>
    <w:semiHidden/>
    <w:qFormat/>
    <w:uiPriority w:val="0"/>
    <w:rPr>
      <w:rFonts w:hint="eastAsia" w:ascii="宋体" w:hAnsi="宋体" w:eastAsia="宋体" w:cs="宋体"/>
      <w:kern w:val="2"/>
      <w:sz w:val="21"/>
      <w:szCs w:val="24"/>
    </w:rPr>
  </w:style>
  <w:style w:type="character" w:customStyle="1" w:styleId="161">
    <w:name w:val="批注框文本 Char1"/>
    <w:semiHidden/>
    <w:qFormat/>
    <w:uiPriority w:val="0"/>
    <w:rPr>
      <w:rFonts w:eastAsia="仿宋_GB2312"/>
      <w:kern w:val="2"/>
      <w:sz w:val="18"/>
      <w:szCs w:val="18"/>
    </w:rPr>
  </w:style>
  <w:style w:type="character" w:customStyle="1" w:styleId="162">
    <w:name w:val="表标题 Char"/>
    <w:link w:val="163"/>
    <w:qFormat/>
    <w:locked/>
    <w:uiPriority w:val="0"/>
    <w:rPr>
      <w:rFonts w:ascii="仿宋_GB2312" w:eastAsia="仿宋_GB2312"/>
      <w:b/>
      <w:bCs/>
      <w:sz w:val="24"/>
      <w:szCs w:val="24"/>
    </w:rPr>
  </w:style>
  <w:style w:type="paragraph" w:customStyle="1" w:styleId="163">
    <w:name w:val="表标题"/>
    <w:basedOn w:val="1"/>
    <w:link w:val="162"/>
    <w:qFormat/>
    <w:uiPriority w:val="0"/>
    <w:pPr>
      <w:spacing w:before="0" w:beforeLines="0" w:line="500" w:lineRule="exact"/>
      <w:ind w:firstLine="482"/>
      <w:jc w:val="center"/>
    </w:pPr>
    <w:rPr>
      <w:rFonts w:ascii="仿宋_GB2312" w:eastAsia="仿宋_GB2312" w:hAnsiTheme="minorHAnsi" w:cstheme="minorBidi"/>
      <w:b/>
      <w:bCs/>
    </w:rPr>
  </w:style>
  <w:style w:type="character" w:customStyle="1" w:styleId="164">
    <w:name w:val="章标题 Char1"/>
    <w:link w:val="165"/>
    <w:qFormat/>
    <w:uiPriority w:val="0"/>
    <w:rPr>
      <w:rFonts w:ascii="黑体" w:eastAsia="黑体"/>
    </w:rPr>
  </w:style>
  <w:style w:type="paragraph" w:customStyle="1" w:styleId="165">
    <w:name w:val="章标题"/>
    <w:next w:val="1"/>
    <w:link w:val="164"/>
    <w:qFormat/>
    <w:uiPriority w:val="0"/>
    <w:pPr>
      <w:numPr>
        <w:ilvl w:val="1"/>
        <w:numId w:val="1"/>
      </w:numPr>
      <w:tabs>
        <w:tab w:val="left" w:pos="1590"/>
      </w:tabs>
      <w:spacing w:before="50" w:beforeLines="50" w:after="50" w:afterLines="50"/>
      <w:jc w:val="both"/>
      <w:outlineLvl w:val="1"/>
    </w:pPr>
    <w:rPr>
      <w:rFonts w:ascii="黑体" w:eastAsia="黑体" w:hAnsiTheme="minorHAnsi" w:cstheme="minorBidi"/>
      <w:kern w:val="2"/>
      <w:sz w:val="21"/>
      <w:szCs w:val="22"/>
      <w:lang w:val="en-US" w:eastAsia="zh-CN" w:bidi="ar-SA"/>
    </w:rPr>
  </w:style>
  <w:style w:type="character" w:customStyle="1" w:styleId="166">
    <w:name w:val="fontstyle11"/>
    <w:qFormat/>
    <w:uiPriority w:val="0"/>
    <w:rPr>
      <w:rFonts w:hint="default" w:ascii="TimesNewRoman" w:hAnsi="TimesNewRoman"/>
      <w:color w:val="000000"/>
      <w:sz w:val="24"/>
      <w:szCs w:val="24"/>
    </w:rPr>
  </w:style>
  <w:style w:type="character" w:customStyle="1" w:styleId="167">
    <w:name w:val="首行缩进 Char Char Char Char Char"/>
    <w:link w:val="168"/>
    <w:qFormat/>
    <w:uiPriority w:val="0"/>
    <w:rPr>
      <w:rFonts w:ascii="Arial" w:hAnsi="Arial" w:eastAsia="仿宋_GB2312"/>
      <w:sz w:val="28"/>
      <w:szCs w:val="28"/>
    </w:rPr>
  </w:style>
  <w:style w:type="paragraph" w:customStyle="1" w:styleId="168">
    <w:name w:val="首行缩进 Char Char Char Char"/>
    <w:basedOn w:val="1"/>
    <w:link w:val="167"/>
    <w:qFormat/>
    <w:uiPriority w:val="0"/>
    <w:pPr>
      <w:spacing w:before="0" w:beforeLines="0"/>
      <w:ind w:firstLine="560"/>
      <w:jc w:val="both"/>
    </w:pPr>
    <w:rPr>
      <w:rFonts w:ascii="Arial" w:hAnsi="Arial" w:eastAsia="仿宋_GB2312" w:cstheme="minorBidi"/>
      <w:sz w:val="28"/>
      <w:szCs w:val="28"/>
    </w:rPr>
  </w:style>
  <w:style w:type="character" w:customStyle="1" w:styleId="169">
    <w:name w:val="环表头 Char3"/>
    <w:link w:val="170"/>
    <w:qFormat/>
    <w:locked/>
    <w:uiPriority w:val="0"/>
    <w:rPr>
      <w:rFonts w:ascii="宋体" w:hAnsi="宋体" w:cs="宋体"/>
      <w:bCs/>
      <w:kern w:val="24"/>
      <w:sz w:val="28"/>
      <w:szCs w:val="28"/>
    </w:rPr>
  </w:style>
  <w:style w:type="paragraph" w:customStyle="1" w:styleId="170">
    <w:name w:val="环表头"/>
    <w:basedOn w:val="1"/>
    <w:link w:val="169"/>
    <w:qFormat/>
    <w:uiPriority w:val="0"/>
    <w:pPr>
      <w:widowControl/>
      <w:tabs>
        <w:tab w:val="left" w:pos="-1008"/>
        <w:tab w:val="left" w:pos="4873"/>
      </w:tabs>
      <w:spacing w:before="0" w:beforeLines="0"/>
      <w:ind w:firstLine="560"/>
      <w:jc w:val="both"/>
    </w:pPr>
    <w:rPr>
      <w:rFonts w:ascii="宋体" w:hAnsi="宋体" w:cs="宋体" w:eastAsiaTheme="minorEastAsia"/>
      <w:bCs/>
      <w:kern w:val="24"/>
      <w:sz w:val="28"/>
      <w:szCs w:val="28"/>
    </w:rPr>
  </w:style>
  <w:style w:type="character" w:customStyle="1" w:styleId="171">
    <w:name w:val="Char Char9"/>
    <w:qFormat/>
    <w:locked/>
    <w:uiPriority w:val="0"/>
    <w:rPr>
      <w:rFonts w:hint="eastAsia" w:ascii="宋体" w:hAnsi="宋体" w:eastAsia="宋体" w:cs="宋体"/>
      <w:kern w:val="2"/>
      <w:sz w:val="18"/>
    </w:rPr>
  </w:style>
  <w:style w:type="character" w:customStyle="1" w:styleId="172">
    <w:name w:val="sub_title1"/>
    <w:qFormat/>
    <w:uiPriority w:val="0"/>
    <w:rPr>
      <w:rFonts w:hint="default"/>
      <w:color w:val="FF6600"/>
      <w:sz w:val="21"/>
      <w:szCs w:val="21"/>
    </w:rPr>
  </w:style>
  <w:style w:type="character" w:customStyle="1" w:styleId="173">
    <w:name w:val="正文新 Char"/>
    <w:link w:val="174"/>
    <w:qFormat/>
    <w:locked/>
    <w:uiPriority w:val="0"/>
    <w:rPr>
      <w:rFonts w:ascii="宋体" w:hAnsi="宋体"/>
      <w:sz w:val="28"/>
    </w:rPr>
  </w:style>
  <w:style w:type="paragraph" w:customStyle="1" w:styleId="174">
    <w:name w:val="正文新"/>
    <w:basedOn w:val="1"/>
    <w:link w:val="173"/>
    <w:qFormat/>
    <w:uiPriority w:val="0"/>
    <w:pPr>
      <w:spacing w:before="0" w:beforeLines="0" w:line="560" w:lineRule="exact"/>
      <w:ind w:firstLine="560"/>
      <w:jc w:val="both"/>
    </w:pPr>
    <w:rPr>
      <w:rFonts w:ascii="宋体" w:hAnsi="宋体" w:eastAsiaTheme="minorEastAsia" w:cstheme="minorBidi"/>
      <w:sz w:val="28"/>
      <w:szCs w:val="22"/>
    </w:rPr>
  </w:style>
  <w:style w:type="character" w:customStyle="1" w:styleId="175">
    <w:name w:val="表格文字 Char"/>
    <w:link w:val="176"/>
    <w:qFormat/>
    <w:locked/>
    <w:uiPriority w:val="0"/>
    <w:rPr>
      <w:rFonts w:ascii="楷体_GB2312" w:eastAsia="楷体_GB2312"/>
      <w:szCs w:val="24"/>
    </w:rPr>
  </w:style>
  <w:style w:type="paragraph" w:customStyle="1" w:styleId="176">
    <w:name w:val="表格文字"/>
    <w:basedOn w:val="1"/>
    <w:link w:val="175"/>
    <w:qFormat/>
    <w:uiPriority w:val="0"/>
    <w:pPr>
      <w:spacing w:before="0" w:beforeLines="0" w:line="360" w:lineRule="exact"/>
      <w:ind w:firstLine="480"/>
      <w:jc w:val="center"/>
    </w:pPr>
    <w:rPr>
      <w:rFonts w:ascii="楷体_GB2312" w:eastAsia="楷体_GB2312" w:hAnsiTheme="minorHAnsi" w:cstheme="minorBidi"/>
      <w:sz w:val="21"/>
    </w:rPr>
  </w:style>
  <w:style w:type="character" w:customStyle="1" w:styleId="177">
    <w:name w:val="bititle"/>
    <w:qFormat/>
    <w:uiPriority w:val="0"/>
  </w:style>
  <w:style w:type="character" w:customStyle="1" w:styleId="178">
    <w:name w:val="xiaozhiti1"/>
    <w:qFormat/>
    <w:uiPriority w:val="0"/>
    <w:rPr>
      <w:sz w:val="18"/>
      <w:szCs w:val="18"/>
    </w:rPr>
  </w:style>
  <w:style w:type="character" w:customStyle="1" w:styleId="179">
    <w:name w:val="标题 Char1"/>
    <w:qFormat/>
    <w:uiPriority w:val="0"/>
    <w:rPr>
      <w:rFonts w:ascii="Arial" w:hAnsi="Arial" w:eastAsia="黑体" w:cs="Arial"/>
      <w:b/>
      <w:bCs/>
      <w:kern w:val="2"/>
      <w:sz w:val="32"/>
      <w:szCs w:val="32"/>
      <w:lang w:val="en-US" w:eastAsia="zh-CN" w:bidi="ar-SA"/>
    </w:rPr>
  </w:style>
  <w:style w:type="character" w:customStyle="1" w:styleId="180">
    <w:name w:val="正文缩进4 Char"/>
    <w:link w:val="181"/>
    <w:qFormat/>
    <w:uiPriority w:val="0"/>
    <w:rPr>
      <w:rFonts w:ascii="仿宋_GB2312" w:eastAsia="仿宋_GB2312"/>
      <w:sz w:val="28"/>
    </w:rPr>
  </w:style>
  <w:style w:type="paragraph" w:customStyle="1" w:styleId="181">
    <w:name w:val="正文缩进4"/>
    <w:basedOn w:val="1"/>
    <w:link w:val="180"/>
    <w:qFormat/>
    <w:uiPriority w:val="0"/>
    <w:pPr>
      <w:spacing w:before="0" w:beforeLines="0" w:line="500" w:lineRule="exact"/>
      <w:ind w:firstLine="560"/>
      <w:jc w:val="both"/>
    </w:pPr>
    <w:rPr>
      <w:rFonts w:ascii="仿宋_GB2312" w:eastAsia="仿宋_GB2312" w:hAnsiTheme="minorHAnsi" w:cstheme="minorBidi"/>
      <w:sz w:val="28"/>
      <w:szCs w:val="22"/>
    </w:rPr>
  </w:style>
  <w:style w:type="character" w:customStyle="1" w:styleId="182">
    <w:name w:val="addr"/>
    <w:qFormat/>
    <w:uiPriority w:val="0"/>
  </w:style>
  <w:style w:type="character" w:customStyle="1" w:styleId="183">
    <w:name w:val="图标格式 Char"/>
    <w:link w:val="184"/>
    <w:qFormat/>
    <w:uiPriority w:val="0"/>
    <w:rPr>
      <w:rFonts w:eastAsia="黑体"/>
      <w:sz w:val="24"/>
      <w:szCs w:val="24"/>
    </w:rPr>
  </w:style>
  <w:style w:type="paragraph" w:customStyle="1" w:styleId="184">
    <w:name w:val="图标格式"/>
    <w:basedOn w:val="1"/>
    <w:link w:val="183"/>
    <w:qFormat/>
    <w:uiPriority w:val="0"/>
    <w:pPr>
      <w:spacing w:before="0" w:beforeLines="0"/>
      <w:ind w:firstLine="480"/>
      <w:jc w:val="center"/>
    </w:pPr>
    <w:rPr>
      <w:rFonts w:eastAsia="黑体" w:asciiTheme="minorHAnsi" w:hAnsiTheme="minorHAnsi" w:cstheme="minorBidi"/>
    </w:rPr>
  </w:style>
  <w:style w:type="character" w:customStyle="1" w:styleId="185">
    <w:name w:val="标题4改 Char"/>
    <w:link w:val="186"/>
    <w:qFormat/>
    <w:locked/>
    <w:uiPriority w:val="0"/>
    <w:rPr>
      <w:rFonts w:ascii="黑体" w:hAnsi="黑体" w:eastAsia="黑体"/>
      <w:sz w:val="28"/>
    </w:rPr>
  </w:style>
  <w:style w:type="paragraph" w:customStyle="1" w:styleId="186">
    <w:name w:val="标题4改"/>
    <w:basedOn w:val="1"/>
    <w:link w:val="185"/>
    <w:qFormat/>
    <w:uiPriority w:val="0"/>
    <w:pPr>
      <w:spacing w:before="0" w:beforeLines="0" w:line="560" w:lineRule="exact"/>
      <w:ind w:firstLine="200"/>
      <w:jc w:val="both"/>
      <w:outlineLvl w:val="3"/>
    </w:pPr>
    <w:rPr>
      <w:rFonts w:ascii="黑体" w:hAnsi="黑体" w:eastAsia="黑体" w:cstheme="minorBidi"/>
      <w:sz w:val="28"/>
      <w:szCs w:val="22"/>
    </w:rPr>
  </w:style>
  <w:style w:type="character" w:customStyle="1" w:styleId="187">
    <w:name w:val="style151"/>
    <w:qFormat/>
    <w:uiPriority w:val="0"/>
    <w:rPr>
      <w:color w:val="000000"/>
    </w:rPr>
  </w:style>
  <w:style w:type="character" w:customStyle="1" w:styleId="188">
    <w:name w:val="unnamed11"/>
    <w:qFormat/>
    <w:uiPriority w:val="0"/>
    <w:rPr>
      <w:color w:val="336699"/>
      <w:sz w:val="32"/>
      <w:szCs w:val="32"/>
      <w:u w:val="none"/>
    </w:rPr>
  </w:style>
  <w:style w:type="character" w:customStyle="1" w:styleId="189">
    <w:name w:val="nine-11"/>
    <w:qFormat/>
    <w:uiPriority w:val="0"/>
    <w:rPr>
      <w:rFonts w:hint="default"/>
      <w:sz w:val="18"/>
      <w:szCs w:val="18"/>
    </w:rPr>
  </w:style>
  <w:style w:type="character" w:customStyle="1" w:styleId="190">
    <w:name w:val="Char Char3"/>
    <w:qFormat/>
    <w:locked/>
    <w:uiPriority w:val="0"/>
    <w:rPr>
      <w:rFonts w:hint="eastAsia" w:ascii="宋体" w:hAnsi="宋体" w:eastAsia="宋体" w:cs="宋体"/>
      <w:kern w:val="2"/>
      <w:sz w:val="24"/>
    </w:rPr>
  </w:style>
  <w:style w:type="character" w:customStyle="1" w:styleId="191">
    <w:name w:val="pccs1"/>
    <w:qFormat/>
    <w:uiPriority w:val="0"/>
    <w:rPr>
      <w:sz w:val="18"/>
      <w:szCs w:val="18"/>
    </w:rPr>
  </w:style>
  <w:style w:type="character" w:customStyle="1" w:styleId="192">
    <w:name w:val="postbody1"/>
    <w:qFormat/>
    <w:uiPriority w:val="0"/>
    <w:rPr>
      <w:sz w:val="18"/>
      <w:szCs w:val="18"/>
    </w:rPr>
  </w:style>
  <w:style w:type="character" w:customStyle="1" w:styleId="193">
    <w:name w:val="c121"/>
    <w:qFormat/>
    <w:uiPriority w:val="0"/>
    <w:rPr>
      <w:color w:val="666666"/>
      <w:sz w:val="18"/>
      <w:szCs w:val="18"/>
      <w:u w:val="none"/>
    </w:rPr>
  </w:style>
  <w:style w:type="character" w:customStyle="1" w:styleId="194">
    <w:name w:val="表头 Char"/>
    <w:qFormat/>
    <w:uiPriority w:val="0"/>
    <w:rPr>
      <w:rFonts w:eastAsia="黑体"/>
      <w:spacing w:val="-10"/>
      <w:sz w:val="21"/>
      <w:lang w:val="en-US" w:eastAsia="zh-CN" w:bidi="ar-SA"/>
    </w:rPr>
  </w:style>
  <w:style w:type="character" w:customStyle="1" w:styleId="195">
    <w:name w:val="新表格 Char"/>
    <w:link w:val="196"/>
    <w:qFormat/>
    <w:uiPriority w:val="0"/>
    <w:rPr>
      <w:bCs/>
      <w:szCs w:val="21"/>
    </w:rPr>
  </w:style>
  <w:style w:type="paragraph" w:customStyle="1" w:styleId="196">
    <w:name w:val="新表格"/>
    <w:basedOn w:val="1"/>
    <w:link w:val="195"/>
    <w:qFormat/>
    <w:uiPriority w:val="0"/>
    <w:pPr>
      <w:snapToGrid w:val="0"/>
      <w:spacing w:before="0" w:beforeLines="0" w:line="264" w:lineRule="auto"/>
      <w:ind w:firstLine="0" w:firstLineChars="0"/>
      <w:jc w:val="center"/>
    </w:pPr>
    <w:rPr>
      <w:rFonts w:asciiTheme="minorHAnsi" w:hAnsiTheme="minorHAnsi" w:eastAsiaTheme="minorEastAsia" w:cstheme="minorBidi"/>
      <w:bCs/>
      <w:sz w:val="21"/>
      <w:szCs w:val="21"/>
    </w:rPr>
  </w:style>
  <w:style w:type="character" w:customStyle="1" w:styleId="197">
    <w:name w:val="单学凯段落格式 Char"/>
    <w:link w:val="198"/>
    <w:qFormat/>
    <w:locked/>
    <w:uiPriority w:val="0"/>
    <w:rPr>
      <w:rFonts w:ascii="仿宋_GB2312" w:eastAsia="仿宋_GB2312"/>
      <w:sz w:val="28"/>
    </w:rPr>
  </w:style>
  <w:style w:type="paragraph" w:customStyle="1" w:styleId="198">
    <w:name w:val="单学凯段落格式"/>
    <w:basedOn w:val="1"/>
    <w:link w:val="197"/>
    <w:qFormat/>
    <w:uiPriority w:val="0"/>
    <w:pPr>
      <w:spacing w:before="0" w:beforeLines="0" w:line="500" w:lineRule="exact"/>
      <w:ind w:firstLine="560"/>
      <w:jc w:val="both"/>
    </w:pPr>
    <w:rPr>
      <w:rFonts w:ascii="仿宋_GB2312" w:eastAsia="仿宋_GB2312" w:hAnsiTheme="minorHAnsi" w:cstheme="minorBidi"/>
      <w:sz w:val="28"/>
      <w:szCs w:val="22"/>
    </w:rPr>
  </w:style>
  <w:style w:type="character" w:customStyle="1" w:styleId="199">
    <w:name w:val="font01"/>
    <w:basedOn w:val="58"/>
    <w:qFormat/>
    <w:uiPriority w:val="0"/>
    <w:rPr>
      <w:rFonts w:ascii="Calibri" w:hAnsi="Calibri" w:cs="Calibri"/>
      <w:color w:val="000000"/>
      <w:sz w:val="18"/>
      <w:szCs w:val="18"/>
      <w:u w:val="none"/>
    </w:rPr>
  </w:style>
  <w:style w:type="character" w:customStyle="1" w:styleId="200">
    <w:name w:val="宋体正文小四蓝色 Char"/>
    <w:link w:val="201"/>
    <w:qFormat/>
    <w:uiPriority w:val="0"/>
    <w:rPr>
      <w:rFonts w:hAnsi="宋体"/>
      <w:sz w:val="24"/>
      <w:szCs w:val="24"/>
    </w:rPr>
  </w:style>
  <w:style w:type="paragraph" w:customStyle="1" w:styleId="201">
    <w:name w:val="宋体正文小四蓝色"/>
    <w:link w:val="200"/>
    <w:qFormat/>
    <w:uiPriority w:val="0"/>
    <w:pPr>
      <w:spacing w:line="500" w:lineRule="exact"/>
      <w:ind w:firstLine="480" w:firstLineChars="200"/>
    </w:pPr>
    <w:rPr>
      <w:rFonts w:hAnsi="宋体" w:asciiTheme="minorHAnsi" w:eastAsiaTheme="minorEastAsia" w:cstheme="minorBidi"/>
      <w:kern w:val="2"/>
      <w:sz w:val="24"/>
      <w:szCs w:val="24"/>
      <w:lang w:val="en-US" w:eastAsia="zh-CN" w:bidi="ar-SA"/>
    </w:rPr>
  </w:style>
  <w:style w:type="character" w:customStyle="1" w:styleId="202">
    <w:name w:val="纯文本2"/>
    <w:qFormat/>
    <w:uiPriority w:val="0"/>
    <w:rPr>
      <w:rFonts w:ascii="宋体" w:hAnsi="Courier New" w:eastAsia="宋体" w:cs="Courier New"/>
      <w:kern w:val="2"/>
      <w:sz w:val="21"/>
      <w:szCs w:val="21"/>
      <w:lang w:val="en-US" w:eastAsia="zh-CN" w:bidi="ar-SA"/>
    </w:rPr>
  </w:style>
  <w:style w:type="character" w:customStyle="1" w:styleId="203">
    <w:name w:val="text_new"/>
    <w:qFormat/>
    <w:uiPriority w:val="0"/>
  </w:style>
  <w:style w:type="character" w:customStyle="1" w:styleId="204">
    <w:name w:val="zw1"/>
    <w:qFormat/>
    <w:uiPriority w:val="0"/>
    <w:rPr>
      <w:rFonts w:hint="default" w:ascii="Times New Roman" w:hAnsi="Times New Roman" w:cs="Times New Roman"/>
    </w:rPr>
  </w:style>
  <w:style w:type="character" w:customStyle="1" w:styleId="205">
    <w:name w:val="fontstyle01"/>
    <w:qFormat/>
    <w:uiPriority w:val="0"/>
    <w:rPr>
      <w:rFonts w:hint="eastAsia" w:ascii="宋体" w:hAnsi="宋体" w:eastAsia="宋体"/>
      <w:color w:val="000000"/>
      <w:sz w:val="24"/>
      <w:szCs w:val="24"/>
    </w:rPr>
  </w:style>
  <w:style w:type="character" w:customStyle="1" w:styleId="206">
    <w:name w:val="phone"/>
    <w:qFormat/>
    <w:uiPriority w:val="0"/>
  </w:style>
  <w:style w:type="character" w:customStyle="1" w:styleId="207">
    <w:name w:val="title31"/>
    <w:qFormat/>
    <w:uiPriority w:val="0"/>
    <w:rPr>
      <w:rFonts w:hint="eastAsia" w:ascii="宋体" w:hAnsi="宋体" w:eastAsia="宋体"/>
      <w:color w:val="000000"/>
      <w:sz w:val="23"/>
      <w:szCs w:val="23"/>
    </w:rPr>
  </w:style>
  <w:style w:type="character" w:customStyle="1" w:styleId="208">
    <w:name w:val="环正文 Char1"/>
    <w:link w:val="209"/>
    <w:qFormat/>
    <w:locked/>
    <w:uiPriority w:val="0"/>
    <w:rPr>
      <w:rFonts w:ascii="仿宋_GB2312" w:eastAsia="仿宋_GB2312"/>
      <w:b/>
      <w:sz w:val="28"/>
      <w:szCs w:val="28"/>
    </w:rPr>
  </w:style>
  <w:style w:type="paragraph" w:customStyle="1" w:styleId="209">
    <w:name w:val="环正文"/>
    <w:basedOn w:val="1"/>
    <w:link w:val="208"/>
    <w:qFormat/>
    <w:uiPriority w:val="0"/>
    <w:pPr>
      <w:widowControl/>
      <w:tabs>
        <w:tab w:val="left" w:pos="5670"/>
      </w:tabs>
      <w:suppressAutoHyphens/>
      <w:adjustRightInd w:val="0"/>
      <w:spacing w:before="0" w:beforeLines="0" w:line="490" w:lineRule="exact"/>
      <w:ind w:firstLine="562"/>
      <w:jc w:val="center"/>
    </w:pPr>
    <w:rPr>
      <w:rFonts w:ascii="仿宋_GB2312" w:eastAsia="仿宋_GB2312" w:hAnsiTheme="minorHAnsi" w:cstheme="minorBidi"/>
      <w:b/>
      <w:sz w:val="28"/>
      <w:szCs w:val="28"/>
    </w:rPr>
  </w:style>
  <w:style w:type="character" w:customStyle="1" w:styleId="210">
    <w:name w:val="title41"/>
    <w:qFormat/>
    <w:uiPriority w:val="0"/>
    <w:rPr>
      <w:rFonts w:hint="eastAsia" w:ascii="宋体" w:hAnsi="宋体" w:eastAsia="宋体"/>
      <w:color w:val="FF6600"/>
      <w:sz w:val="36"/>
      <w:szCs w:val="36"/>
    </w:rPr>
  </w:style>
  <w:style w:type="character" w:customStyle="1" w:styleId="211">
    <w:name w:val="style6"/>
    <w:qFormat/>
    <w:uiPriority w:val="0"/>
  </w:style>
  <w:style w:type="character" w:customStyle="1" w:styleId="212">
    <w:name w:val="apple-style-span"/>
    <w:qFormat/>
    <w:uiPriority w:val="0"/>
    <w:rPr>
      <w:rFonts w:hint="eastAsia" w:ascii="宋体" w:hAnsi="宋体" w:eastAsia="宋体" w:cs="宋体"/>
    </w:rPr>
  </w:style>
  <w:style w:type="character" w:customStyle="1" w:styleId="213">
    <w:name w:val="Char Char2"/>
    <w:qFormat/>
    <w:locked/>
    <w:uiPriority w:val="0"/>
    <w:rPr>
      <w:rFonts w:hint="eastAsia" w:ascii="宋体" w:hAnsi="宋体" w:eastAsia="宋体" w:cs="宋体"/>
      <w:b/>
      <w:kern w:val="2"/>
      <w:sz w:val="24"/>
    </w:rPr>
  </w:style>
  <w:style w:type="character" w:customStyle="1" w:styleId="214">
    <w:name w:val="desctext1"/>
    <w:qFormat/>
    <w:uiPriority w:val="0"/>
    <w:rPr>
      <w:spacing w:val="15"/>
      <w:sz w:val="18"/>
      <w:szCs w:val="18"/>
    </w:rPr>
  </w:style>
  <w:style w:type="character" w:customStyle="1" w:styleId="215">
    <w:name w:val="unnamed91"/>
    <w:qFormat/>
    <w:uiPriority w:val="0"/>
    <w:rPr>
      <w:rFonts w:hint="eastAsia" w:ascii="宋体" w:hAnsi="宋体" w:eastAsia="宋体"/>
      <w:color w:val="000000"/>
      <w:sz w:val="18"/>
      <w:szCs w:val="18"/>
      <w:u w:val="none"/>
    </w:rPr>
  </w:style>
  <w:style w:type="character" w:customStyle="1" w:styleId="216">
    <w:name w:val="正文缩进 Cha Char"/>
    <w:qFormat/>
    <w:uiPriority w:val="0"/>
    <w:rPr>
      <w:rFonts w:eastAsia="宋体"/>
      <w:kern w:val="2"/>
      <w:sz w:val="28"/>
      <w:szCs w:val="24"/>
      <w:lang w:val="en-US" w:eastAsia="zh-CN" w:bidi="ar-SA"/>
    </w:rPr>
  </w:style>
  <w:style w:type="character" w:customStyle="1" w:styleId="217">
    <w:name w:val="标题 1 Char Char Char Char"/>
    <w:qFormat/>
    <w:uiPriority w:val="0"/>
    <w:rPr>
      <w:rFonts w:eastAsia="宋体"/>
      <w:kern w:val="44"/>
      <w:sz w:val="44"/>
      <w:szCs w:val="44"/>
    </w:rPr>
  </w:style>
  <w:style w:type="character" w:customStyle="1" w:styleId="218">
    <w:name w:val="标题 21"/>
    <w:qFormat/>
    <w:uiPriority w:val="0"/>
    <w:rPr>
      <w:rFonts w:ascii="黑体" w:hAnsi="Arial" w:eastAsia="黑体"/>
      <w:kern w:val="2"/>
      <w:sz w:val="36"/>
      <w:szCs w:val="32"/>
      <w:lang w:val="en-US" w:eastAsia="zh-CN" w:bidi="ar-SA"/>
    </w:rPr>
  </w:style>
  <w:style w:type="character" w:customStyle="1" w:styleId="219">
    <w:name w:val="main-11"/>
    <w:qFormat/>
    <w:uiPriority w:val="0"/>
  </w:style>
  <w:style w:type="character" w:customStyle="1" w:styleId="220">
    <w:name w:val="新正文 Char"/>
    <w:link w:val="221"/>
    <w:qFormat/>
    <w:uiPriority w:val="0"/>
    <w:rPr>
      <w:rFonts w:ascii="仿宋_GB2312" w:eastAsia="仿宋_GB2312"/>
      <w:bCs/>
      <w:sz w:val="28"/>
    </w:rPr>
  </w:style>
  <w:style w:type="paragraph" w:customStyle="1" w:styleId="221">
    <w:name w:val="新正文"/>
    <w:basedOn w:val="1"/>
    <w:link w:val="220"/>
    <w:qFormat/>
    <w:uiPriority w:val="0"/>
    <w:pPr>
      <w:spacing w:before="0" w:beforeLines="0" w:line="500" w:lineRule="exact"/>
      <w:ind w:firstLine="482"/>
      <w:jc w:val="both"/>
    </w:pPr>
    <w:rPr>
      <w:rFonts w:ascii="仿宋_GB2312" w:eastAsia="仿宋_GB2312" w:hAnsiTheme="minorHAnsi" w:cstheme="minorBidi"/>
      <w:bCs/>
      <w:sz w:val="28"/>
      <w:szCs w:val="22"/>
    </w:rPr>
  </w:style>
  <w:style w:type="character" w:customStyle="1" w:styleId="222">
    <w:name w:val="font21"/>
    <w:basedOn w:val="58"/>
    <w:qFormat/>
    <w:uiPriority w:val="0"/>
    <w:rPr>
      <w:rFonts w:hint="eastAsia" w:ascii="宋体" w:hAnsi="宋体" w:eastAsia="宋体" w:cs="宋体"/>
      <w:color w:val="000000"/>
      <w:sz w:val="20"/>
      <w:szCs w:val="20"/>
      <w:u w:val="none"/>
    </w:rPr>
  </w:style>
  <w:style w:type="character" w:customStyle="1" w:styleId="223">
    <w:name w:val="main-1"/>
    <w:qFormat/>
    <w:uiPriority w:val="0"/>
  </w:style>
  <w:style w:type="character" w:customStyle="1" w:styleId="224">
    <w:name w:val="文字 Char"/>
    <w:link w:val="225"/>
    <w:qFormat/>
    <w:uiPriority w:val="0"/>
    <w:rPr>
      <w:sz w:val="24"/>
      <w:szCs w:val="24"/>
    </w:rPr>
  </w:style>
  <w:style w:type="paragraph" w:customStyle="1" w:styleId="225">
    <w:name w:val="文字"/>
    <w:basedOn w:val="1"/>
    <w:link w:val="224"/>
    <w:qFormat/>
    <w:uiPriority w:val="0"/>
    <w:pPr>
      <w:widowControl/>
      <w:spacing w:after="50" w:afterLines="50"/>
      <w:ind w:firstLine="200"/>
      <w:jc w:val="both"/>
    </w:pPr>
    <w:rPr>
      <w:rFonts w:asciiTheme="minorHAnsi" w:hAnsiTheme="minorHAnsi" w:eastAsiaTheme="minorEastAsia" w:cstheme="minorBidi"/>
    </w:rPr>
  </w:style>
  <w:style w:type="character" w:customStyle="1" w:styleId="226">
    <w:name w:val="未处理的提及"/>
    <w:unhideWhenUsed/>
    <w:qFormat/>
    <w:uiPriority w:val="99"/>
    <w:rPr>
      <w:color w:val="605E5C"/>
      <w:shd w:val="clear" w:color="auto" w:fill="E1DFDD"/>
    </w:rPr>
  </w:style>
  <w:style w:type="character" w:customStyle="1" w:styleId="227">
    <w:name w:val="Char Char6"/>
    <w:qFormat/>
    <w:uiPriority w:val="0"/>
    <w:rPr>
      <w:rFonts w:eastAsia="宋体"/>
      <w:kern w:val="2"/>
      <w:sz w:val="24"/>
      <w:lang w:val="en-US" w:eastAsia="zh-CN" w:bidi="ar-SA"/>
    </w:rPr>
  </w:style>
  <w:style w:type="character" w:customStyle="1" w:styleId="228">
    <w:name w:val="标题 12"/>
    <w:qFormat/>
    <w:uiPriority w:val="0"/>
    <w:rPr>
      <w:rFonts w:ascii="黑体" w:eastAsia="黑体"/>
      <w:kern w:val="44"/>
      <w:sz w:val="44"/>
      <w:lang w:val="en-US" w:eastAsia="zh-CN" w:bidi="ar-SA"/>
    </w:rPr>
  </w:style>
  <w:style w:type="character" w:customStyle="1" w:styleId="229">
    <w:name w:val="word131"/>
    <w:qFormat/>
    <w:uiPriority w:val="0"/>
    <w:rPr>
      <w:rFonts w:hint="default" w:ascii="ˎ̥" w:hAnsi="ˎ̥"/>
      <w:color w:val="000000"/>
      <w:sz w:val="20"/>
      <w:szCs w:val="20"/>
      <w:u w:val="none"/>
    </w:rPr>
  </w:style>
  <w:style w:type="character" w:customStyle="1" w:styleId="230">
    <w:name w:val="login21"/>
    <w:qFormat/>
    <w:uiPriority w:val="0"/>
    <w:rPr>
      <w:rFonts w:hint="default" w:ascii="Arial" w:hAnsi="Arial" w:cs="Arial"/>
      <w:color w:val="333333"/>
      <w:sz w:val="18"/>
      <w:szCs w:val="18"/>
    </w:rPr>
  </w:style>
  <w:style w:type="character" w:customStyle="1" w:styleId="231">
    <w:name w:val="表蕊 Char1"/>
    <w:link w:val="232"/>
    <w:qFormat/>
    <w:uiPriority w:val="0"/>
    <w:rPr>
      <w:rFonts w:eastAsia="楷体_GB2312"/>
      <w:spacing w:val="-10"/>
    </w:rPr>
  </w:style>
  <w:style w:type="paragraph" w:customStyle="1" w:styleId="232">
    <w:name w:val="表蕊"/>
    <w:basedOn w:val="1"/>
    <w:link w:val="231"/>
    <w:qFormat/>
    <w:uiPriority w:val="0"/>
    <w:pPr>
      <w:adjustRightInd w:val="0"/>
      <w:spacing w:before="0" w:beforeLines="0" w:line="320" w:lineRule="atLeast"/>
      <w:ind w:firstLine="480"/>
      <w:textAlignment w:val="baseline"/>
    </w:pPr>
    <w:rPr>
      <w:rFonts w:eastAsia="楷体_GB2312" w:asciiTheme="minorHAnsi" w:hAnsiTheme="minorHAnsi" w:cstheme="minorBidi"/>
      <w:spacing w:val="-10"/>
      <w:sz w:val="21"/>
      <w:szCs w:val="22"/>
    </w:rPr>
  </w:style>
  <w:style w:type="character" w:customStyle="1" w:styleId="233">
    <w:name w:val="第三层条 Char1"/>
    <w:semiHidden/>
    <w:qFormat/>
    <w:uiPriority w:val="0"/>
    <w:rPr>
      <w:rFonts w:ascii="Calibri Light" w:hAnsi="Calibri Light" w:eastAsia="宋体" w:cs="Times New Roman"/>
      <w:b/>
      <w:bCs/>
      <w:kern w:val="2"/>
      <w:sz w:val="28"/>
      <w:szCs w:val="28"/>
    </w:rPr>
  </w:style>
  <w:style w:type="character" w:customStyle="1" w:styleId="234">
    <w:name w:val="标题3改 Char"/>
    <w:link w:val="235"/>
    <w:qFormat/>
    <w:locked/>
    <w:uiPriority w:val="0"/>
    <w:rPr>
      <w:rFonts w:ascii="黑体" w:hAnsi="黑体" w:eastAsia="黑体"/>
      <w:sz w:val="24"/>
    </w:rPr>
  </w:style>
  <w:style w:type="paragraph" w:customStyle="1" w:styleId="235">
    <w:name w:val="标题3改"/>
    <w:basedOn w:val="5"/>
    <w:link w:val="234"/>
    <w:qFormat/>
    <w:uiPriority w:val="0"/>
    <w:pPr>
      <w:spacing w:before="0" w:beforeLines="0" w:line="560" w:lineRule="exact"/>
      <w:ind w:firstLine="560" w:firstLineChars="200"/>
      <w:jc w:val="both"/>
    </w:pPr>
    <w:rPr>
      <w:rFonts w:ascii="黑体" w:hAnsi="黑体" w:eastAsia="黑体" w:cstheme="minorBidi"/>
      <w:b w:val="0"/>
      <w:bCs w:val="0"/>
      <w:sz w:val="24"/>
      <w:szCs w:val="22"/>
    </w:rPr>
  </w:style>
  <w:style w:type="character" w:customStyle="1" w:styleId="236">
    <w:name w:val="big1"/>
    <w:qFormat/>
    <w:uiPriority w:val="0"/>
    <w:rPr>
      <w:rFonts w:hint="default"/>
      <w:sz w:val="28"/>
      <w:szCs w:val="28"/>
    </w:rPr>
  </w:style>
  <w:style w:type="character" w:customStyle="1" w:styleId="237">
    <w:name w:val="apple-converted-space"/>
    <w:qFormat/>
    <w:uiPriority w:val="0"/>
  </w:style>
  <w:style w:type="character" w:customStyle="1" w:styleId="238">
    <w:name w:val="ourfont3"/>
    <w:qFormat/>
    <w:uiPriority w:val="0"/>
  </w:style>
  <w:style w:type="paragraph" w:customStyle="1" w:styleId="239">
    <w:name w:val="0正文"/>
    <w:qFormat/>
    <w:uiPriority w:val="0"/>
    <w:pPr>
      <w:widowControl w:val="0"/>
      <w:spacing w:line="360" w:lineRule="auto"/>
      <w:ind w:firstLine="720" w:firstLineChars="200"/>
    </w:pPr>
    <w:rPr>
      <w:rFonts w:ascii="Times New Roman" w:hAnsi="Times New Roman" w:eastAsia="宋体" w:cs="Times New Roman"/>
      <w:kern w:val="0"/>
      <w:sz w:val="24"/>
      <w:szCs w:val="22"/>
      <w:lang w:val="en-US" w:eastAsia="zh-CN" w:bidi="ar-SA"/>
    </w:rPr>
  </w:style>
  <w:style w:type="paragraph" w:customStyle="1" w:styleId="240">
    <w:name w:val="五号表格"/>
    <w:next w:val="1"/>
    <w:qFormat/>
    <w:uiPriority w:val="0"/>
    <w:rPr>
      <w:rFonts w:ascii="宋体" w:hAnsi="Times New Roman" w:eastAsia="宋体" w:cs="Times New Roman"/>
      <w:kern w:val="0"/>
      <w:sz w:val="21"/>
      <w:szCs w:val="20"/>
      <w:lang w:val="en-US" w:eastAsia="zh-CN" w:bidi="ar-SA"/>
    </w:rPr>
  </w:style>
  <w:style w:type="paragraph" w:customStyle="1" w:styleId="241">
    <w:name w:val="低行距图表文字"/>
    <w:basedOn w:val="141"/>
    <w:qFormat/>
    <w:uiPriority w:val="0"/>
    <w:pPr>
      <w:widowControl/>
      <w:spacing w:line="240" w:lineRule="exact"/>
    </w:pPr>
    <w:rPr>
      <w:rFonts w:hAnsi="仿宋_GB2312" w:cs="宋体"/>
      <w:kern w:val="0"/>
    </w:rPr>
  </w:style>
  <w:style w:type="paragraph" w:customStyle="1" w:styleId="242">
    <w:name w:val="样式 13 磅 行距: 固定值 25 磅"/>
    <w:basedOn w:val="1"/>
    <w:qFormat/>
    <w:uiPriority w:val="0"/>
    <w:pPr>
      <w:spacing w:before="0" w:beforeLines="0" w:line="500" w:lineRule="exact"/>
      <w:ind w:firstLine="520"/>
      <w:jc w:val="both"/>
    </w:pPr>
    <w:rPr>
      <w:rFonts w:eastAsia="仿宋" w:cs="宋体"/>
      <w:kern w:val="0"/>
      <w:sz w:val="26"/>
      <w:szCs w:val="20"/>
    </w:rPr>
  </w:style>
  <w:style w:type="paragraph" w:customStyle="1" w:styleId="243">
    <w:name w:val="样式1"/>
    <w:basedOn w:val="1"/>
    <w:next w:val="23"/>
    <w:qFormat/>
    <w:uiPriority w:val="0"/>
    <w:pPr>
      <w:spacing w:before="0" w:beforeLines="0"/>
      <w:ind w:firstLine="480"/>
      <w:jc w:val="center"/>
    </w:pPr>
    <w:rPr>
      <w:rFonts w:ascii="仿宋_GB2312" w:hAnsi="宋体" w:eastAsia="仿宋_GB2312"/>
      <w:kern w:val="0"/>
      <w:sz w:val="28"/>
      <w:szCs w:val="28"/>
    </w:rPr>
  </w:style>
  <w:style w:type="paragraph" w:customStyle="1" w:styleId="244">
    <w:name w:val="五级条标题"/>
    <w:basedOn w:val="245"/>
    <w:next w:val="1"/>
    <w:qFormat/>
    <w:uiPriority w:val="0"/>
    <w:pPr>
      <w:tabs>
        <w:tab w:val="left" w:pos="360"/>
        <w:tab w:val="left" w:pos="720"/>
      </w:tabs>
      <w:outlineLvl w:val="6"/>
    </w:pPr>
  </w:style>
  <w:style w:type="paragraph" w:customStyle="1" w:styleId="245">
    <w:name w:val="四级条标题"/>
    <w:basedOn w:val="246"/>
    <w:next w:val="1"/>
    <w:qFormat/>
    <w:uiPriority w:val="0"/>
    <w:pPr>
      <w:numPr>
        <w:ilvl w:val="0"/>
        <w:numId w:val="0"/>
      </w:numPr>
      <w:tabs>
        <w:tab w:val="left" w:pos="360"/>
        <w:tab w:val="left" w:pos="720"/>
      </w:tabs>
      <w:outlineLvl w:val="5"/>
    </w:pPr>
  </w:style>
  <w:style w:type="paragraph" w:customStyle="1" w:styleId="246">
    <w:name w:val="三级条标题"/>
    <w:basedOn w:val="247"/>
    <w:next w:val="1"/>
    <w:qFormat/>
    <w:uiPriority w:val="0"/>
    <w:pPr>
      <w:numPr>
        <w:ilvl w:val="4"/>
      </w:numPr>
      <w:tabs>
        <w:tab w:val="left" w:pos="720"/>
      </w:tabs>
      <w:outlineLvl w:val="4"/>
    </w:pPr>
  </w:style>
  <w:style w:type="paragraph" w:customStyle="1" w:styleId="247">
    <w:name w:val="二级条标题"/>
    <w:basedOn w:val="248"/>
    <w:next w:val="1"/>
    <w:qFormat/>
    <w:uiPriority w:val="0"/>
    <w:pPr>
      <w:numPr>
        <w:ilvl w:val="3"/>
      </w:numPr>
      <w:tabs>
        <w:tab w:val="left" w:pos="720"/>
      </w:tabs>
      <w:outlineLvl w:val="3"/>
    </w:pPr>
  </w:style>
  <w:style w:type="paragraph" w:customStyle="1" w:styleId="248">
    <w:name w:val="一级条标题"/>
    <w:basedOn w:val="1"/>
    <w:next w:val="1"/>
    <w:link w:val="500"/>
    <w:qFormat/>
    <w:uiPriority w:val="0"/>
    <w:pPr>
      <w:widowControl/>
      <w:numPr>
        <w:ilvl w:val="2"/>
        <w:numId w:val="2"/>
      </w:numPr>
      <w:spacing w:before="0" w:beforeLines="0"/>
      <w:ind w:firstLine="200"/>
      <w:jc w:val="both"/>
      <w:outlineLvl w:val="2"/>
    </w:pPr>
    <w:rPr>
      <w:rFonts w:ascii="黑体" w:eastAsia="黑体"/>
      <w:kern w:val="0"/>
      <w:sz w:val="28"/>
      <w:szCs w:val="20"/>
    </w:rPr>
  </w:style>
  <w:style w:type="paragraph" w:customStyle="1" w:styleId="249">
    <w:name w:val="小3黑中"/>
    <w:basedOn w:val="7"/>
    <w:qFormat/>
    <w:uiPriority w:val="0"/>
    <w:pPr>
      <w:keepLines/>
      <w:tabs>
        <w:tab w:val="clear" w:pos="1008"/>
      </w:tabs>
      <w:ind w:left="4320" w:firstLine="200" w:firstLineChars="200"/>
      <w:jc w:val="center"/>
      <w:outlineLvl w:val="9"/>
    </w:pPr>
    <w:rPr>
      <w:rFonts w:ascii="仿宋_GB2312" w:hAnsi="宋体" w:eastAsia="仿宋_GB2312"/>
      <w:b w:val="0"/>
    </w:rPr>
  </w:style>
  <w:style w:type="paragraph" w:customStyle="1" w:styleId="250">
    <w:name w:val="小四表文左齐"/>
    <w:basedOn w:val="1"/>
    <w:qFormat/>
    <w:uiPriority w:val="0"/>
    <w:pPr>
      <w:adjustRightInd w:val="0"/>
      <w:snapToGrid w:val="0"/>
      <w:spacing w:before="0" w:beforeLines="0"/>
      <w:ind w:firstLine="480"/>
      <w:jc w:val="center"/>
    </w:pPr>
    <w:rPr>
      <w:rFonts w:ascii="仿宋_GB2312" w:hAnsi="宋体" w:eastAsia="仿宋_GB2312"/>
      <w:kern w:val="0"/>
      <w:sz w:val="28"/>
      <w:szCs w:val="28"/>
    </w:rPr>
  </w:style>
  <w:style w:type="paragraph" w:customStyle="1" w:styleId="251">
    <w:name w:val="表头1"/>
    <w:basedOn w:val="26"/>
    <w:qFormat/>
    <w:uiPriority w:val="0"/>
    <w:pPr>
      <w:autoSpaceDE/>
      <w:autoSpaceDN/>
      <w:adjustRightInd/>
      <w:spacing w:line="360" w:lineRule="auto"/>
      <w:ind w:firstLine="0"/>
      <w:jc w:val="center"/>
      <w:textAlignment w:val="auto"/>
    </w:pPr>
    <w:rPr>
      <w:rFonts w:hint="eastAsia" w:ascii="Times New Roman" w:hAnsi="Times New Roman"/>
      <w:b/>
      <w:color w:val="000000"/>
      <w:sz w:val="24"/>
    </w:rPr>
  </w:style>
  <w:style w:type="paragraph" w:customStyle="1" w:styleId="252">
    <w:name w:val="reader-word-layer reader-word-s2-5"/>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253">
    <w:name w:val="xl54"/>
    <w:basedOn w:val="1"/>
    <w:qFormat/>
    <w:uiPriority w:val="0"/>
    <w:pPr>
      <w:widowControl/>
      <w:pBdr>
        <w:right w:val="single" w:color="auto" w:sz="4" w:space="0"/>
      </w:pBdr>
      <w:spacing w:before="100" w:beforeLines="0" w:after="100"/>
      <w:ind w:firstLine="480"/>
      <w:jc w:val="center"/>
      <w:textAlignment w:val="center"/>
    </w:pPr>
    <w:rPr>
      <w:rFonts w:ascii="宋体" w:hAnsi="宋体" w:eastAsia="仿宋"/>
      <w:kern w:val="0"/>
      <w:szCs w:val="20"/>
    </w:rPr>
  </w:style>
  <w:style w:type="paragraph" w:customStyle="1" w:styleId="254">
    <w:name w:val="Char Char Char Char Char Char"/>
    <w:basedOn w:val="1"/>
    <w:qFormat/>
    <w:uiPriority w:val="0"/>
    <w:pPr>
      <w:spacing w:before="0" w:beforeLines="0"/>
      <w:ind w:firstLine="480"/>
      <w:jc w:val="both"/>
    </w:pPr>
    <w:rPr>
      <w:rFonts w:eastAsia="仿宋"/>
      <w:kern w:val="0"/>
      <w:sz w:val="28"/>
      <w:szCs w:val="21"/>
    </w:rPr>
  </w:style>
  <w:style w:type="paragraph" w:customStyle="1" w:styleId="255">
    <w:name w:val="样式14"/>
    <w:basedOn w:val="141"/>
    <w:link w:val="490"/>
    <w:qFormat/>
    <w:uiPriority w:val="0"/>
    <w:pPr>
      <w:adjustRightInd w:val="0"/>
      <w:textAlignment w:val="baseline"/>
    </w:pPr>
    <w:rPr>
      <w:rFonts w:hAnsi="宋体"/>
      <w:bCs/>
      <w:sz w:val="24"/>
      <w:szCs w:val="20"/>
    </w:rPr>
  </w:style>
  <w:style w:type="paragraph" w:customStyle="1" w:styleId="256">
    <w:name w:val="正文缩进1"/>
    <w:basedOn w:val="1"/>
    <w:qFormat/>
    <w:uiPriority w:val="0"/>
    <w:pPr>
      <w:autoSpaceDE w:val="0"/>
      <w:autoSpaceDN w:val="0"/>
      <w:adjustRightInd w:val="0"/>
      <w:spacing w:before="20" w:beforeLines="0" w:after="20" w:line="312" w:lineRule="atLeast"/>
      <w:ind w:firstLine="420"/>
      <w:textAlignment w:val="baseline"/>
    </w:pPr>
    <w:rPr>
      <w:rFonts w:eastAsia="仿宋"/>
      <w:kern w:val="0"/>
      <w:szCs w:val="20"/>
    </w:rPr>
  </w:style>
  <w:style w:type="paragraph" w:customStyle="1" w:styleId="257">
    <w:name w:val="xl26"/>
    <w:basedOn w:val="1"/>
    <w:qFormat/>
    <w:uiPriority w:val="0"/>
    <w:pPr>
      <w:widowControl/>
      <w:pBdr>
        <w:left w:val="single" w:color="auto" w:sz="4" w:space="0"/>
        <w:bottom w:val="single" w:color="auto" w:sz="4" w:space="0"/>
        <w:right w:val="single" w:color="auto" w:sz="4" w:space="0"/>
      </w:pBdr>
      <w:spacing w:before="100" w:beforeLines="0" w:beforeAutospacing="1" w:after="100" w:afterAutospacing="1"/>
      <w:ind w:firstLine="480"/>
      <w:jc w:val="center"/>
    </w:pPr>
    <w:rPr>
      <w:rFonts w:ascii="Arial Unicode MS" w:hAnsi="Arial Unicode MS" w:eastAsia="Arial Unicode MS"/>
      <w:kern w:val="0"/>
      <w:szCs w:val="28"/>
    </w:rPr>
  </w:style>
  <w:style w:type="paragraph" w:customStyle="1" w:styleId="258">
    <w:name w:val="图文字"/>
    <w:basedOn w:val="1"/>
    <w:qFormat/>
    <w:uiPriority w:val="0"/>
    <w:pPr>
      <w:spacing w:before="0" w:beforeLines="0" w:line="280" w:lineRule="exact"/>
      <w:ind w:firstLine="480"/>
      <w:jc w:val="center"/>
    </w:pPr>
    <w:rPr>
      <w:rFonts w:ascii="仿宋_GB2312" w:hAnsi="宋体" w:eastAsia="仿宋_GB2312"/>
      <w:kern w:val="0"/>
      <w:sz w:val="28"/>
      <w:szCs w:val="21"/>
    </w:rPr>
  </w:style>
  <w:style w:type="paragraph" w:customStyle="1" w:styleId="259">
    <w:name w:val="Body Text Indent1"/>
    <w:basedOn w:val="1"/>
    <w:qFormat/>
    <w:uiPriority w:val="0"/>
    <w:pPr>
      <w:adjustRightInd w:val="0"/>
      <w:spacing w:before="0" w:beforeLines="0" w:after="120"/>
      <w:ind w:left="420" w:leftChars="200" w:firstLine="200"/>
      <w:jc w:val="both"/>
      <w:textAlignment w:val="baseline"/>
    </w:pPr>
    <w:rPr>
      <w:rFonts w:eastAsia="仿宋"/>
      <w:kern w:val="0"/>
      <w:szCs w:val="28"/>
    </w:rPr>
  </w:style>
  <w:style w:type="paragraph" w:customStyle="1" w:styleId="260">
    <w:name w:val="Char Char Char Char Char Char Char Char Char Char Char Char Char Char Char Char Char Char"/>
    <w:basedOn w:val="1"/>
    <w:qFormat/>
    <w:uiPriority w:val="0"/>
    <w:pPr>
      <w:spacing w:before="0" w:beforeLines="0"/>
      <w:ind w:firstLine="480"/>
      <w:jc w:val="both"/>
    </w:pPr>
    <w:rPr>
      <w:rFonts w:eastAsia="仿宋"/>
      <w:kern w:val="0"/>
      <w:szCs w:val="20"/>
    </w:rPr>
  </w:style>
  <w:style w:type="paragraph" w:customStyle="1" w:styleId="261">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62">
    <w:name w:val="普通(网站)1"/>
    <w:basedOn w:val="1"/>
    <w:qFormat/>
    <w:uiPriority w:val="0"/>
    <w:pPr>
      <w:adjustRightInd w:val="0"/>
      <w:spacing w:before="0" w:beforeLines="0"/>
      <w:ind w:firstLine="480"/>
      <w:jc w:val="both"/>
      <w:textAlignment w:val="baseline"/>
    </w:pPr>
    <w:rPr>
      <w:rFonts w:eastAsia="仿宋"/>
      <w:kern w:val="0"/>
      <w:szCs w:val="20"/>
    </w:rPr>
  </w:style>
  <w:style w:type="paragraph" w:customStyle="1" w:styleId="263">
    <w:name w:val="样式13"/>
    <w:basedOn w:val="1"/>
    <w:next w:val="20"/>
    <w:qFormat/>
    <w:uiPriority w:val="0"/>
    <w:pPr>
      <w:adjustRightInd w:val="0"/>
      <w:spacing w:before="0" w:beforeLines="0" w:line="500" w:lineRule="exact"/>
      <w:ind w:firstLine="200"/>
      <w:jc w:val="both"/>
      <w:textAlignment w:val="baseline"/>
    </w:pPr>
    <w:rPr>
      <w:rFonts w:ascii="仿宋_GB2312" w:hAnsi="宋体" w:eastAsia="仿宋_GB2312"/>
      <w:color w:val="FF0000"/>
      <w:kern w:val="0"/>
      <w:sz w:val="28"/>
      <w:szCs w:val="28"/>
    </w:rPr>
  </w:style>
  <w:style w:type="paragraph" w:customStyle="1" w:styleId="264">
    <w:name w:val="表题"/>
    <w:basedOn w:val="1"/>
    <w:qFormat/>
    <w:uiPriority w:val="0"/>
    <w:pPr>
      <w:snapToGrid w:val="0"/>
      <w:spacing w:before="0" w:beforeLines="0"/>
      <w:ind w:firstLine="480"/>
      <w:jc w:val="center"/>
    </w:pPr>
    <w:rPr>
      <w:rFonts w:eastAsia="黑体"/>
      <w:kern w:val="0"/>
      <w:szCs w:val="20"/>
    </w:rPr>
  </w:style>
  <w:style w:type="paragraph" w:customStyle="1" w:styleId="265">
    <w:name w:val="表中文字"/>
    <w:basedOn w:val="1"/>
    <w:qFormat/>
    <w:uiPriority w:val="0"/>
    <w:pPr>
      <w:snapToGrid w:val="0"/>
      <w:spacing w:before="0" w:beforeLines="0"/>
      <w:ind w:firstLine="480"/>
      <w:jc w:val="both"/>
    </w:pPr>
    <w:rPr>
      <w:rFonts w:eastAsia="仿宋"/>
      <w:kern w:val="0"/>
      <w:sz w:val="28"/>
      <w:szCs w:val="20"/>
    </w:rPr>
  </w:style>
  <w:style w:type="paragraph" w:customStyle="1" w:styleId="266">
    <w:name w:val="普通 (Web)"/>
    <w:basedOn w:val="40"/>
    <w:next w:val="40"/>
    <w:qFormat/>
    <w:uiPriority w:val="0"/>
    <w:pPr>
      <w:spacing w:before="100" w:after="100"/>
    </w:pPr>
    <w:rPr>
      <w:color w:val="auto"/>
    </w:rPr>
  </w:style>
  <w:style w:type="paragraph" w:customStyle="1" w:styleId="267">
    <w:name w:val="注"/>
    <w:basedOn w:val="1"/>
    <w:next w:val="1"/>
    <w:qFormat/>
    <w:uiPriority w:val="0"/>
    <w:pPr>
      <w:widowControl/>
      <w:spacing w:before="60" w:beforeLines="0" w:after="60" w:line="312" w:lineRule="auto"/>
      <w:ind w:firstLine="480"/>
      <w:jc w:val="both"/>
    </w:pPr>
    <w:rPr>
      <w:rFonts w:eastAsia="黑体"/>
      <w:kern w:val="0"/>
      <w:sz w:val="28"/>
      <w:szCs w:val="20"/>
    </w:rPr>
  </w:style>
  <w:style w:type="paragraph" w:customStyle="1" w:styleId="268">
    <w:name w:val="图框文字"/>
    <w:basedOn w:val="1"/>
    <w:qFormat/>
    <w:uiPriority w:val="0"/>
    <w:pPr>
      <w:spacing w:before="0" w:beforeLines="0"/>
      <w:ind w:firstLine="480"/>
      <w:jc w:val="center"/>
      <w:textAlignment w:val="center"/>
    </w:pPr>
    <w:rPr>
      <w:rFonts w:eastAsia="仿宋"/>
      <w:kern w:val="0"/>
      <w:sz w:val="28"/>
      <w:szCs w:val="28"/>
    </w:rPr>
  </w:style>
  <w:style w:type="paragraph" w:customStyle="1" w:styleId="269">
    <w:name w:val="reader-word-layer reader-word-s2-3"/>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270">
    <w:name w:val="我的样式（正文）"/>
    <w:basedOn w:val="1"/>
    <w:qFormat/>
    <w:uiPriority w:val="0"/>
    <w:pPr>
      <w:spacing w:before="0" w:beforeLines="0" w:line="440" w:lineRule="exact"/>
      <w:ind w:firstLine="480"/>
      <w:jc w:val="both"/>
    </w:pPr>
    <w:rPr>
      <w:rFonts w:ascii="宋体" w:eastAsia="仿宋"/>
      <w:kern w:val="0"/>
      <w:sz w:val="28"/>
      <w:szCs w:val="20"/>
    </w:rPr>
  </w:style>
  <w:style w:type="paragraph" w:customStyle="1" w:styleId="271">
    <w:name w:val="样式10"/>
    <w:basedOn w:val="141"/>
    <w:qFormat/>
    <w:uiPriority w:val="0"/>
    <w:pPr>
      <w:adjustRightInd w:val="0"/>
      <w:textAlignment w:val="baseline"/>
    </w:pPr>
    <w:rPr>
      <w:rFonts w:hAnsi="宋体"/>
      <w:bCs/>
      <w:color w:val="FF0000"/>
      <w:szCs w:val="21"/>
    </w:rPr>
  </w:style>
  <w:style w:type="paragraph" w:customStyle="1" w:styleId="272">
    <w:name w:val="报告 Char"/>
    <w:basedOn w:val="1"/>
    <w:qFormat/>
    <w:uiPriority w:val="0"/>
    <w:pPr>
      <w:adjustRightInd w:val="0"/>
      <w:spacing w:before="0" w:beforeLines="0"/>
      <w:ind w:firstLine="505"/>
      <w:jc w:val="both"/>
      <w:textAlignment w:val="baseline"/>
    </w:pPr>
    <w:rPr>
      <w:rFonts w:eastAsia="仿宋"/>
      <w:kern w:val="0"/>
      <w:szCs w:val="28"/>
    </w:rPr>
  </w:style>
  <w:style w:type="paragraph" w:customStyle="1" w:styleId="273">
    <w:name w:val="正文-1"/>
    <w:basedOn w:val="1"/>
    <w:qFormat/>
    <w:uiPriority w:val="0"/>
    <w:pPr>
      <w:adjustRightInd w:val="0"/>
      <w:spacing w:before="0" w:beforeLines="0" w:line="440" w:lineRule="exact"/>
      <w:ind w:firstLine="200"/>
      <w:jc w:val="both"/>
    </w:pPr>
    <w:rPr>
      <w:rFonts w:eastAsia="仿宋"/>
      <w:kern w:val="0"/>
      <w:szCs w:val="20"/>
    </w:rPr>
  </w:style>
  <w:style w:type="paragraph" w:customStyle="1" w:styleId="274">
    <w:name w:val="图编号"/>
    <w:basedOn w:val="176"/>
    <w:qFormat/>
    <w:uiPriority w:val="0"/>
    <w:pPr>
      <w:tabs>
        <w:tab w:val="left" w:pos="1140"/>
      </w:tabs>
      <w:spacing w:before="300" w:after="300" w:line="360" w:lineRule="auto"/>
      <w:ind w:left="1140" w:hanging="600"/>
    </w:pPr>
    <w:rPr>
      <w:rFonts w:ascii="Times New Roman" w:eastAsia="宋体"/>
      <w:sz w:val="24"/>
      <w:szCs w:val="20"/>
    </w:rPr>
  </w:style>
  <w:style w:type="paragraph" w:customStyle="1" w:styleId="275">
    <w:name w:val="样式 首行缩进 + 四号 首行缩进:  2 字符 行距: 单倍行距"/>
    <w:basedOn w:val="1"/>
    <w:qFormat/>
    <w:uiPriority w:val="0"/>
    <w:pPr>
      <w:adjustRightInd w:val="0"/>
      <w:snapToGrid w:val="0"/>
      <w:spacing w:before="0" w:beforeLines="0"/>
      <w:ind w:firstLine="560"/>
      <w:jc w:val="both"/>
    </w:pPr>
    <w:rPr>
      <w:rFonts w:eastAsia="仿宋"/>
      <w:kern w:val="0"/>
      <w:sz w:val="28"/>
      <w:szCs w:val="28"/>
    </w:rPr>
  </w:style>
  <w:style w:type="paragraph" w:customStyle="1" w:styleId="276">
    <w:name w:val="样式2"/>
    <w:basedOn w:val="18"/>
    <w:qFormat/>
    <w:uiPriority w:val="0"/>
    <w:pPr>
      <w:snapToGrid w:val="0"/>
      <w:ind w:firstLine="560"/>
    </w:pPr>
    <w:rPr>
      <w:rFonts w:eastAsia="仿宋_GB2312"/>
      <w:color w:val="000000"/>
      <w:sz w:val="32"/>
    </w:rPr>
  </w:style>
  <w:style w:type="paragraph" w:customStyle="1" w:styleId="277">
    <w:name w:val="reader-word-layer reader-word-s2-1"/>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278">
    <w:name w:val="标题正4"/>
    <w:basedOn w:val="1"/>
    <w:qFormat/>
    <w:uiPriority w:val="0"/>
    <w:pPr>
      <w:spacing w:before="0" w:beforeLines="0"/>
      <w:ind w:firstLine="480"/>
      <w:jc w:val="center"/>
    </w:pPr>
    <w:rPr>
      <w:rFonts w:ascii="仿宋_GB2312" w:eastAsia="仿宋_GB2312"/>
      <w:color w:val="000000"/>
      <w:kern w:val="0"/>
      <w:sz w:val="28"/>
      <w:szCs w:val="28"/>
    </w:rPr>
  </w:style>
  <w:style w:type="paragraph" w:customStyle="1" w:styleId="279">
    <w:name w:val="表内容"/>
    <w:basedOn w:val="1"/>
    <w:qFormat/>
    <w:uiPriority w:val="0"/>
    <w:pPr>
      <w:spacing w:before="0" w:beforeLines="0" w:line="320" w:lineRule="exact"/>
      <w:ind w:firstLine="0" w:firstLineChars="0"/>
      <w:jc w:val="center"/>
    </w:pPr>
    <w:rPr>
      <w:rFonts w:eastAsia="仿宋"/>
      <w:kern w:val="0"/>
      <w:sz w:val="21"/>
      <w:szCs w:val="28"/>
    </w:rPr>
  </w:style>
  <w:style w:type="paragraph" w:customStyle="1" w:styleId="280">
    <w:name w:val="表格内容"/>
    <w:basedOn w:val="1"/>
    <w:qFormat/>
    <w:uiPriority w:val="0"/>
    <w:pPr>
      <w:overflowPunct w:val="0"/>
      <w:adjustRightInd w:val="0"/>
      <w:spacing w:before="40" w:beforeLines="0" w:after="60" w:line="200" w:lineRule="atLeast"/>
      <w:ind w:firstLine="480"/>
      <w:jc w:val="both"/>
      <w:textAlignment w:val="baseline"/>
    </w:pPr>
    <w:rPr>
      <w:rFonts w:ascii="Arial" w:hAnsi="Arial" w:eastAsia="仿宋_GB2312"/>
      <w:kern w:val="0"/>
      <w:szCs w:val="20"/>
    </w:rPr>
  </w:style>
  <w:style w:type="paragraph" w:customStyle="1" w:styleId="281">
    <w:name w:val="Plain Text2"/>
    <w:basedOn w:val="1"/>
    <w:qFormat/>
    <w:uiPriority w:val="0"/>
    <w:pPr>
      <w:autoSpaceDE w:val="0"/>
      <w:autoSpaceDN w:val="0"/>
      <w:adjustRightInd w:val="0"/>
      <w:spacing w:before="0" w:beforeLines="0"/>
      <w:ind w:firstLine="480"/>
      <w:jc w:val="both"/>
      <w:textAlignment w:val="baseline"/>
    </w:pPr>
    <w:rPr>
      <w:rFonts w:ascii="宋体" w:hAnsi="Tms Rmn" w:eastAsia="仿宋"/>
      <w:kern w:val="0"/>
      <w:sz w:val="28"/>
      <w:szCs w:val="20"/>
    </w:rPr>
  </w:style>
  <w:style w:type="paragraph" w:customStyle="1" w:styleId="282">
    <w:name w:val="正文01"/>
    <w:basedOn w:val="1"/>
    <w:qFormat/>
    <w:uiPriority w:val="0"/>
    <w:pPr>
      <w:spacing w:before="60" w:beforeLines="0" w:line="440" w:lineRule="exact"/>
      <w:ind w:firstLine="200"/>
      <w:jc w:val="both"/>
    </w:pPr>
    <w:rPr>
      <w:rFonts w:eastAsia="仿宋"/>
      <w:kern w:val="0"/>
      <w:szCs w:val="20"/>
    </w:rPr>
  </w:style>
  <w:style w:type="paragraph" w:customStyle="1" w:styleId="283">
    <w:name w:val="表内字体"/>
    <w:basedOn w:val="1"/>
    <w:qFormat/>
    <w:uiPriority w:val="0"/>
    <w:pPr>
      <w:spacing w:before="0" w:beforeLines="0"/>
      <w:ind w:firstLine="480"/>
      <w:jc w:val="center"/>
    </w:pPr>
    <w:rPr>
      <w:rFonts w:hAnsi="宋体" w:eastAsia="仿宋"/>
      <w:kern w:val="0"/>
      <w:sz w:val="28"/>
      <w:szCs w:val="20"/>
    </w:rPr>
  </w:style>
  <w:style w:type="paragraph" w:customStyle="1" w:styleId="284">
    <w:name w:val="默认段落字体 Para Char Char Char Char"/>
    <w:basedOn w:val="1"/>
    <w:qFormat/>
    <w:uiPriority w:val="0"/>
    <w:pPr>
      <w:spacing w:before="0" w:beforeLines="0"/>
      <w:ind w:firstLine="480"/>
      <w:jc w:val="both"/>
    </w:pPr>
    <w:rPr>
      <w:rFonts w:eastAsia="仿宋"/>
      <w:kern w:val="0"/>
      <w:szCs w:val="28"/>
    </w:rPr>
  </w:style>
  <w:style w:type="paragraph" w:customStyle="1" w:styleId="285">
    <w:name w:val="Char Char Char Char"/>
    <w:basedOn w:val="1"/>
    <w:qFormat/>
    <w:uiPriority w:val="0"/>
    <w:pPr>
      <w:spacing w:before="0" w:beforeLines="0"/>
      <w:ind w:firstLine="480"/>
      <w:jc w:val="both"/>
    </w:pPr>
    <w:rPr>
      <w:rFonts w:eastAsia="仿宋"/>
      <w:kern w:val="0"/>
      <w:szCs w:val="28"/>
    </w:rPr>
  </w:style>
  <w:style w:type="paragraph" w:customStyle="1" w:styleId="286">
    <w:name w:val="y表格"/>
    <w:basedOn w:val="2"/>
    <w:qFormat/>
    <w:uiPriority w:val="0"/>
    <w:pPr>
      <w:widowControl/>
      <w:adjustRightInd w:val="0"/>
      <w:snapToGrid w:val="0"/>
      <w:spacing w:before="0" w:beforeLines="0" w:after="0"/>
      <w:ind w:firstLine="200"/>
      <w:jc w:val="center"/>
    </w:pPr>
    <w:rPr>
      <w:rFonts w:ascii="宋体" w:hAnsi="宋体" w:eastAsia="仿宋"/>
      <w:kern w:val="0"/>
      <w:sz w:val="28"/>
      <w:szCs w:val="20"/>
    </w:rPr>
  </w:style>
  <w:style w:type="paragraph" w:customStyle="1" w:styleId="287">
    <w:name w:val="IDC A-Head (2nd Line)"/>
    <w:basedOn w:val="1"/>
    <w:next w:val="1"/>
    <w:qFormat/>
    <w:uiPriority w:val="0"/>
    <w:pPr>
      <w:widowControl/>
      <w:spacing w:before="0" w:beforeLines="0"/>
      <w:ind w:firstLine="480"/>
      <w:jc w:val="center"/>
    </w:pPr>
    <w:rPr>
      <w:rFonts w:eastAsia="仿宋"/>
      <w:caps/>
      <w:kern w:val="0"/>
      <w:szCs w:val="20"/>
    </w:rPr>
  </w:style>
  <w:style w:type="paragraph" w:customStyle="1" w:styleId="288">
    <w:name w:val="表格正文"/>
    <w:basedOn w:val="1"/>
    <w:qFormat/>
    <w:uiPriority w:val="0"/>
    <w:pPr>
      <w:spacing w:before="0" w:beforeLines="0" w:line="360" w:lineRule="exact"/>
      <w:ind w:firstLine="480"/>
      <w:jc w:val="center"/>
    </w:pPr>
    <w:rPr>
      <w:rFonts w:eastAsia="仿宋"/>
      <w:kern w:val="0"/>
      <w:sz w:val="28"/>
      <w:szCs w:val="20"/>
    </w:rPr>
  </w:style>
  <w:style w:type="paragraph" w:customStyle="1" w:styleId="289">
    <w:name w:val="表格文字居中 Char"/>
    <w:basedOn w:val="52"/>
    <w:qFormat/>
    <w:uiPriority w:val="0"/>
    <w:pPr>
      <w:keepNext/>
      <w:tabs>
        <w:tab w:val="left" w:pos="628"/>
        <w:tab w:val="left" w:pos="1727"/>
        <w:tab w:val="left" w:pos="1884"/>
        <w:tab w:val="left" w:pos="2660"/>
        <w:tab w:val="left" w:pos="5460"/>
      </w:tabs>
      <w:spacing w:before="100" w:beforeAutospacing="1" w:after="0" w:line="240" w:lineRule="auto"/>
      <w:ind w:firstLine="0" w:firstLineChars="0"/>
      <w:jc w:val="center"/>
    </w:pPr>
    <w:rPr>
      <w:rFonts w:ascii="宋体"/>
      <w:bCs/>
      <w:color w:val="000000"/>
      <w:kern w:val="0"/>
      <w:szCs w:val="20"/>
    </w:rPr>
  </w:style>
  <w:style w:type="paragraph" w:customStyle="1" w:styleId="290">
    <w:name w:val="big"/>
    <w:basedOn w:val="1"/>
    <w:qFormat/>
    <w:uiPriority w:val="0"/>
    <w:pPr>
      <w:widowControl/>
      <w:spacing w:before="100" w:beforeLines="0" w:beforeAutospacing="1" w:after="100" w:afterAutospacing="1"/>
      <w:ind w:firstLine="0" w:firstLineChars="0"/>
    </w:pPr>
    <w:rPr>
      <w:rFonts w:ascii="宋体" w:hAnsi="宋体" w:eastAsia="仿宋" w:cs="宋体"/>
      <w:kern w:val="0"/>
      <w:sz w:val="28"/>
      <w:szCs w:val="22"/>
    </w:rPr>
  </w:style>
  <w:style w:type="paragraph" w:customStyle="1" w:styleId="291">
    <w:name w:val="TOC 标题1"/>
    <w:basedOn w:val="1"/>
    <w:next w:val="1"/>
    <w:qFormat/>
    <w:uiPriority w:val="0"/>
    <w:pPr>
      <w:keepNext/>
      <w:keepLines/>
      <w:widowControl/>
      <w:spacing w:before="480" w:beforeLines="0" w:line="276" w:lineRule="auto"/>
      <w:ind w:firstLine="480"/>
    </w:pPr>
    <w:rPr>
      <w:rFonts w:hint="eastAsia" w:ascii="Cambria" w:hAnsi="Cambria" w:eastAsia="仿宋"/>
      <w:b/>
      <w:bCs/>
      <w:color w:val="365F91"/>
      <w:kern w:val="0"/>
      <w:sz w:val="28"/>
      <w:szCs w:val="28"/>
    </w:rPr>
  </w:style>
  <w:style w:type="paragraph" w:customStyle="1" w:styleId="292">
    <w:name w:val="标准书眉一"/>
    <w:qFormat/>
    <w:uiPriority w:val="0"/>
    <w:pPr>
      <w:numPr>
        <w:ilvl w:val="0"/>
        <w:numId w:val="1"/>
      </w:numPr>
      <w:tabs>
        <w:tab w:val="left" w:pos="1470"/>
      </w:tabs>
      <w:jc w:val="both"/>
    </w:pPr>
    <w:rPr>
      <w:rFonts w:ascii="Times New Roman" w:hAnsi="Times New Roman" w:eastAsia="宋体" w:cs="Times New Roman"/>
      <w:kern w:val="0"/>
      <w:sz w:val="20"/>
      <w:szCs w:val="20"/>
      <w:lang w:val="en-US" w:eastAsia="zh-CN" w:bidi="ar-SA"/>
    </w:rPr>
  </w:style>
  <w:style w:type="paragraph" w:customStyle="1" w:styleId="293">
    <w:name w:val="1 Char Char Char Char Char Char Char Char Char Char Char Char Char Char Char Char Char Char Char"/>
    <w:basedOn w:val="1"/>
    <w:qFormat/>
    <w:uiPriority w:val="0"/>
    <w:pPr>
      <w:adjustRightInd w:val="0"/>
      <w:spacing w:before="0" w:beforeLines="0"/>
      <w:ind w:firstLine="480"/>
      <w:jc w:val="both"/>
    </w:pPr>
    <w:rPr>
      <w:rFonts w:eastAsia="仿宋"/>
      <w:kern w:val="0"/>
      <w:szCs w:val="20"/>
    </w:rPr>
  </w:style>
  <w:style w:type="paragraph" w:customStyle="1" w:styleId="294">
    <w:name w:val="文本框文字格式"/>
    <w:basedOn w:val="1"/>
    <w:qFormat/>
    <w:uiPriority w:val="0"/>
    <w:pPr>
      <w:spacing w:before="0" w:beforeLines="0"/>
      <w:ind w:firstLine="480"/>
      <w:jc w:val="center"/>
    </w:pPr>
    <w:rPr>
      <w:rFonts w:eastAsia="仿宋"/>
      <w:kern w:val="0"/>
      <w:szCs w:val="28"/>
    </w:rPr>
  </w:style>
  <w:style w:type="paragraph" w:customStyle="1" w:styleId="295">
    <w:name w:val="样式 标题 4 + 黑色 左侧:  -0.01 厘米 首行缩进:  0.01 厘米"/>
    <w:basedOn w:val="6"/>
    <w:qFormat/>
    <w:uiPriority w:val="0"/>
    <w:pPr>
      <w:keepNext w:val="0"/>
      <w:keepLines w:val="0"/>
      <w:spacing w:before="0" w:beforeLines="50" w:line="312" w:lineRule="auto"/>
      <w:ind w:left="482" w:hanging="482" w:hangingChars="100"/>
    </w:pPr>
    <w:rPr>
      <w:rFonts w:ascii="楷体_GB2312" w:eastAsia="楷体_GB2312" w:cs="宋体"/>
      <w:bCs/>
      <w:color w:val="000000"/>
      <w:sz w:val="28"/>
      <w:szCs w:val="20"/>
    </w:rPr>
  </w:style>
  <w:style w:type="paragraph" w:customStyle="1" w:styleId="296">
    <w:name w:val="样式8"/>
    <w:basedOn w:val="268"/>
    <w:qFormat/>
    <w:uiPriority w:val="0"/>
    <w:pPr>
      <w:adjustRightInd w:val="0"/>
    </w:pPr>
    <w:rPr>
      <w:rFonts w:ascii="仿宋_GB2312" w:hAnsi="宋体" w:eastAsia="仿宋_GB2312"/>
      <w:bCs/>
    </w:rPr>
  </w:style>
  <w:style w:type="paragraph" w:customStyle="1" w:styleId="297">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kern w:val="0"/>
      <w:sz w:val="32"/>
      <w:szCs w:val="32"/>
      <w:lang w:val="en-US" w:eastAsia="zh-CN" w:bidi="ar-SA"/>
    </w:rPr>
  </w:style>
  <w:style w:type="paragraph" w:customStyle="1" w:styleId="298">
    <w:name w:val="表后文"/>
    <w:basedOn w:val="1"/>
    <w:qFormat/>
    <w:uiPriority w:val="0"/>
    <w:pPr>
      <w:adjustRightInd w:val="0"/>
      <w:spacing w:before="120" w:beforeLines="0" w:line="400" w:lineRule="exact"/>
      <w:ind w:firstLine="601"/>
      <w:jc w:val="both"/>
      <w:textAlignment w:val="baseline"/>
    </w:pPr>
    <w:rPr>
      <w:rFonts w:eastAsia="楷体_GB2312"/>
      <w:spacing w:val="8"/>
      <w:kern w:val="0"/>
      <w:sz w:val="28"/>
      <w:szCs w:val="20"/>
    </w:rPr>
  </w:style>
  <w:style w:type="paragraph" w:customStyle="1" w:styleId="299">
    <w:name w:val="样式 标题 2 + 段前: 0 磅"/>
    <w:basedOn w:val="4"/>
    <w:qFormat/>
    <w:uiPriority w:val="0"/>
    <w:pPr>
      <w:spacing w:before="0" w:after="120" w:line="520" w:lineRule="exact"/>
      <w:ind w:firstLine="0" w:firstLineChars="0"/>
    </w:pPr>
    <w:rPr>
      <w:rFonts w:cs="宋体"/>
      <w:bCs/>
      <w:sz w:val="24"/>
      <w:szCs w:val="20"/>
    </w:rPr>
  </w:style>
  <w:style w:type="paragraph" w:customStyle="1" w:styleId="300">
    <w:name w:val="4"/>
    <w:basedOn w:val="1"/>
    <w:next w:val="48"/>
    <w:qFormat/>
    <w:uiPriority w:val="0"/>
    <w:pPr>
      <w:widowControl/>
      <w:spacing w:before="100" w:beforeLines="0" w:beforeAutospacing="1" w:after="100" w:afterAutospacing="1" w:line="280" w:lineRule="atLeast"/>
      <w:ind w:firstLine="480"/>
    </w:pPr>
    <w:rPr>
      <w:rFonts w:ascii="ˎ̥" w:hAnsi="ˎ̥" w:eastAsia="仿宋" w:cs="宋体"/>
      <w:kern w:val="0"/>
      <w:sz w:val="20"/>
      <w:szCs w:val="20"/>
    </w:rPr>
  </w:style>
  <w:style w:type="paragraph" w:customStyle="1" w:styleId="301">
    <w:name w:val="yz"/>
    <w:basedOn w:val="2"/>
    <w:qFormat/>
    <w:uiPriority w:val="0"/>
    <w:pPr>
      <w:tabs>
        <w:tab w:val="left" w:pos="900"/>
      </w:tabs>
      <w:adjustRightInd w:val="0"/>
      <w:spacing w:before="0" w:beforeLines="0" w:after="0"/>
      <w:ind w:firstLine="200"/>
      <w:jc w:val="both"/>
    </w:pPr>
    <w:rPr>
      <w:rFonts w:ascii="宋体" w:hAnsi="宋体" w:eastAsia="仿宋"/>
      <w:sz w:val="28"/>
      <w:szCs w:val="20"/>
    </w:rPr>
  </w:style>
  <w:style w:type="paragraph" w:customStyle="1" w:styleId="302">
    <w:name w:val="五号字表格"/>
    <w:basedOn w:val="303"/>
    <w:qFormat/>
    <w:uiPriority w:val="0"/>
    <w:pPr>
      <w:autoSpaceDE/>
      <w:autoSpaceDN/>
      <w:snapToGrid/>
      <w:spacing w:line="240" w:lineRule="auto"/>
    </w:pPr>
    <w:rPr>
      <w:rFonts w:hAnsi="Times New Roman"/>
      <w:color w:val="auto"/>
      <w:spacing w:val="0"/>
      <w:sz w:val="21"/>
      <w:szCs w:val="20"/>
    </w:rPr>
  </w:style>
  <w:style w:type="paragraph" w:customStyle="1" w:styleId="303">
    <w:name w:val="表格1"/>
    <w:basedOn w:val="1"/>
    <w:qFormat/>
    <w:uiPriority w:val="0"/>
    <w:pPr>
      <w:autoSpaceDE w:val="0"/>
      <w:autoSpaceDN w:val="0"/>
      <w:adjustRightInd w:val="0"/>
      <w:snapToGrid w:val="0"/>
      <w:spacing w:before="0" w:beforeLines="0" w:line="460" w:lineRule="exact"/>
      <w:ind w:firstLine="480"/>
      <w:jc w:val="center"/>
      <w:textAlignment w:val="baseline"/>
    </w:pPr>
    <w:rPr>
      <w:rFonts w:ascii="宋体" w:hAnsi="Arial" w:eastAsia="仿宋"/>
      <w:color w:val="000000"/>
      <w:spacing w:val="14"/>
      <w:kern w:val="0"/>
      <w:szCs w:val="28"/>
    </w:rPr>
  </w:style>
  <w:style w:type="paragraph" w:customStyle="1" w:styleId="304">
    <w:name w:val="环标3"/>
    <w:basedOn w:val="1"/>
    <w:qFormat/>
    <w:uiPriority w:val="0"/>
    <w:pPr>
      <w:widowControl/>
      <w:tabs>
        <w:tab w:val="left" w:pos="5094"/>
      </w:tabs>
      <w:adjustRightInd w:val="0"/>
      <w:spacing w:before="0" w:beforeLines="0"/>
      <w:ind w:firstLine="480"/>
      <w:jc w:val="both"/>
    </w:pPr>
    <w:rPr>
      <w:rFonts w:hAnsi="Courier New" w:eastAsia="仿宋_GB2312"/>
      <w:kern w:val="0"/>
      <w:szCs w:val="28"/>
    </w:rPr>
  </w:style>
  <w:style w:type="paragraph" w:customStyle="1" w:styleId="305">
    <w:name w:val="表格下方正文"/>
    <w:basedOn w:val="1"/>
    <w:qFormat/>
    <w:uiPriority w:val="0"/>
    <w:pPr>
      <w:spacing w:before="260" w:beforeLines="0" w:line="440" w:lineRule="exact"/>
      <w:ind w:firstLine="200"/>
      <w:jc w:val="both"/>
    </w:pPr>
    <w:rPr>
      <w:rFonts w:eastAsia="仿宋"/>
      <w:kern w:val="0"/>
      <w:szCs w:val="20"/>
    </w:rPr>
  </w:style>
  <w:style w:type="paragraph" w:customStyle="1" w:styleId="306">
    <w:name w:val="列出段落11"/>
    <w:basedOn w:val="1"/>
    <w:qFormat/>
    <w:uiPriority w:val="0"/>
    <w:pPr>
      <w:spacing w:before="0" w:beforeLines="0"/>
      <w:ind w:firstLine="420"/>
      <w:jc w:val="both"/>
    </w:pPr>
    <w:rPr>
      <w:rFonts w:eastAsia="仿宋"/>
      <w:kern w:val="0"/>
      <w:sz w:val="28"/>
      <w:szCs w:val="28"/>
    </w:rPr>
  </w:style>
  <w:style w:type="paragraph" w:customStyle="1" w:styleId="307">
    <w:name w:val="表内"/>
    <w:basedOn w:val="1"/>
    <w:qFormat/>
    <w:uiPriority w:val="0"/>
    <w:pPr>
      <w:spacing w:before="0" w:beforeLines="0"/>
      <w:ind w:firstLine="480"/>
      <w:jc w:val="center"/>
    </w:pPr>
    <w:rPr>
      <w:rFonts w:eastAsia="仿宋"/>
      <w:kern w:val="0"/>
      <w:sz w:val="28"/>
      <w:szCs w:val="20"/>
    </w:rPr>
  </w:style>
  <w:style w:type="paragraph" w:customStyle="1" w:styleId="308">
    <w:name w:val="xl33"/>
    <w:basedOn w:val="1"/>
    <w:qFormat/>
    <w:uiPriority w:val="0"/>
    <w:pPr>
      <w:widowControl/>
      <w:pBdr>
        <w:left w:val="single" w:color="auto" w:sz="4" w:space="0"/>
        <w:bottom w:val="single" w:color="auto" w:sz="4" w:space="0"/>
        <w:right w:val="single" w:color="auto" w:sz="4" w:space="0"/>
      </w:pBdr>
      <w:spacing w:before="100" w:beforeLines="0" w:beforeAutospacing="1" w:after="100" w:afterAutospacing="1"/>
      <w:ind w:firstLine="480"/>
      <w:jc w:val="center"/>
      <w:textAlignment w:val="center"/>
    </w:pPr>
    <w:rPr>
      <w:rFonts w:ascii="宋体" w:hAnsi="宋体" w:eastAsia="仿宋"/>
      <w:kern w:val="0"/>
      <w:sz w:val="28"/>
      <w:szCs w:val="21"/>
    </w:rPr>
  </w:style>
  <w:style w:type="paragraph" w:customStyle="1" w:styleId="309">
    <w:name w:val="xl22"/>
    <w:basedOn w:val="1"/>
    <w:qFormat/>
    <w:uiPriority w:val="0"/>
    <w:pPr>
      <w:widowControl/>
      <w:pBdr>
        <w:bottom w:val="single" w:color="auto" w:sz="4" w:space="0"/>
        <w:right w:val="single" w:color="auto" w:sz="4" w:space="0"/>
      </w:pBdr>
      <w:spacing w:before="100" w:beforeLines="0" w:after="100"/>
      <w:ind w:firstLine="480"/>
      <w:jc w:val="center"/>
    </w:pPr>
    <w:rPr>
      <w:rFonts w:ascii="宋体" w:hAnsi="宋体" w:eastAsia="仿宋"/>
      <w:kern w:val="0"/>
      <w:sz w:val="28"/>
      <w:szCs w:val="20"/>
    </w:rPr>
  </w:style>
  <w:style w:type="paragraph" w:customStyle="1" w:styleId="310">
    <w:name w:val="样式111"/>
    <w:basedOn w:val="294"/>
    <w:qFormat/>
    <w:uiPriority w:val="0"/>
    <w:rPr>
      <w:sz w:val="21"/>
    </w:rPr>
  </w:style>
  <w:style w:type="paragraph" w:customStyle="1" w:styleId="311">
    <w:name w:val="xl37"/>
    <w:basedOn w:val="1"/>
    <w:qFormat/>
    <w:uiPriority w:val="0"/>
    <w:pPr>
      <w:widowControl/>
      <w:pBdr>
        <w:top w:val="single" w:color="auto" w:sz="8" w:space="0"/>
        <w:left w:val="single" w:color="auto" w:sz="4" w:space="0"/>
        <w:bottom w:val="single" w:color="auto" w:sz="4" w:space="0"/>
        <w:right w:val="single" w:color="auto" w:sz="8" w:space="0"/>
      </w:pBdr>
      <w:shd w:val="clear" w:color="auto" w:fill="FFCC99"/>
      <w:spacing w:before="100" w:beforeLines="0" w:beforeAutospacing="1" w:after="100" w:afterAutospacing="1"/>
      <w:ind w:firstLine="480"/>
      <w:jc w:val="center"/>
    </w:pPr>
    <w:rPr>
      <w:rFonts w:hint="eastAsia" w:ascii="宋体" w:hAnsi="宋体" w:eastAsia="仿宋"/>
      <w:kern w:val="0"/>
      <w:sz w:val="20"/>
      <w:szCs w:val="20"/>
    </w:rPr>
  </w:style>
  <w:style w:type="paragraph" w:customStyle="1" w:styleId="312">
    <w:name w:val="文本居中"/>
    <w:basedOn w:val="1"/>
    <w:qFormat/>
    <w:uiPriority w:val="0"/>
    <w:pPr>
      <w:adjustRightInd w:val="0"/>
      <w:spacing w:before="0" w:beforeLines="0"/>
      <w:ind w:firstLine="480"/>
      <w:jc w:val="center"/>
    </w:pPr>
    <w:rPr>
      <w:rFonts w:eastAsia="仿宋"/>
      <w:kern w:val="0"/>
      <w:sz w:val="28"/>
      <w:szCs w:val="28"/>
    </w:rPr>
  </w:style>
  <w:style w:type="paragraph" w:customStyle="1" w:styleId="313">
    <w:name w:val="样式 标题 1 + (中文) 宋体 小三 行距: 多倍行距 1.35 字行"/>
    <w:basedOn w:val="3"/>
    <w:qFormat/>
    <w:uiPriority w:val="0"/>
    <w:pPr>
      <w:numPr>
        <w:ilvl w:val="0"/>
        <w:numId w:val="3"/>
      </w:numPr>
      <w:tabs>
        <w:tab w:val="left" w:pos="432"/>
      </w:tabs>
      <w:snapToGrid w:val="0"/>
      <w:spacing w:before="360" w:beforeLines="150" w:after="360" w:afterLines="150" w:line="300" w:lineRule="auto"/>
      <w:ind w:firstLine="0" w:firstLineChars="0"/>
    </w:pPr>
    <w:rPr>
      <w:rFonts w:hAnsi="宋体" w:eastAsia="仿宋"/>
      <w:bCs/>
      <w:color w:val="FF0000"/>
      <w:szCs w:val="32"/>
    </w:rPr>
  </w:style>
  <w:style w:type="paragraph" w:customStyle="1" w:styleId="314">
    <w:name w:val="xl27"/>
    <w:basedOn w:val="1"/>
    <w:qFormat/>
    <w:uiPriority w:val="0"/>
    <w:pPr>
      <w:widowControl/>
      <w:pBdr>
        <w:bottom w:val="single" w:color="auto" w:sz="12" w:space="0"/>
      </w:pBdr>
      <w:spacing w:before="100" w:beforeLines="0" w:after="100"/>
      <w:ind w:firstLine="480"/>
      <w:jc w:val="center"/>
    </w:pPr>
    <w:rPr>
      <w:rFonts w:ascii="宋体" w:hAnsi="宋体" w:eastAsia="仿宋"/>
      <w:kern w:val="0"/>
      <w:sz w:val="28"/>
      <w:szCs w:val="20"/>
    </w:rPr>
  </w:style>
  <w:style w:type="paragraph" w:customStyle="1" w:styleId="315">
    <w:name w:val="首行缩进"/>
    <w:basedOn w:val="1"/>
    <w:qFormat/>
    <w:uiPriority w:val="0"/>
    <w:pPr>
      <w:spacing w:before="0" w:beforeLines="0"/>
      <w:ind w:firstLine="480"/>
      <w:jc w:val="both"/>
    </w:pPr>
    <w:rPr>
      <w:rFonts w:eastAsia="仿宋"/>
      <w:kern w:val="0"/>
      <w:szCs w:val="28"/>
    </w:rPr>
  </w:style>
  <w:style w:type="paragraph" w:customStyle="1" w:styleId="316">
    <w:name w:val="正文首行缩进1"/>
    <w:basedOn w:val="1"/>
    <w:next w:val="1"/>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before="0" w:beforeLines="0" w:line="300" w:lineRule="auto"/>
      <w:ind w:firstLine="561"/>
      <w:jc w:val="both"/>
      <w:textAlignment w:val="baseline"/>
    </w:pPr>
    <w:rPr>
      <w:rFonts w:eastAsia="仿宋"/>
      <w:kern w:val="0"/>
      <w:sz w:val="28"/>
      <w:szCs w:val="28"/>
    </w:rPr>
  </w:style>
  <w:style w:type="paragraph" w:customStyle="1" w:styleId="317">
    <w:name w:val="章"/>
    <w:basedOn w:val="1"/>
    <w:qFormat/>
    <w:uiPriority w:val="0"/>
    <w:pPr>
      <w:spacing w:before="0" w:beforeLines="0"/>
      <w:ind w:firstLine="480"/>
      <w:jc w:val="both"/>
    </w:pPr>
    <w:rPr>
      <w:rFonts w:eastAsia="仿宋"/>
      <w:kern w:val="0"/>
      <w:sz w:val="28"/>
      <w:szCs w:val="20"/>
    </w:rPr>
  </w:style>
  <w:style w:type="paragraph" w:customStyle="1" w:styleId="318">
    <w:name w:val="表内文字"/>
    <w:qFormat/>
    <w:uiPriority w:val="0"/>
    <w:pPr>
      <w:adjustRightInd w:val="0"/>
      <w:snapToGrid w:val="0"/>
      <w:ind w:right="-82" w:rightChars="-39" w:firstLine="8" w:firstLineChars="4"/>
      <w:jc w:val="center"/>
    </w:pPr>
    <w:rPr>
      <w:rFonts w:ascii="Times New Roman" w:hAnsi="Times New Roman" w:eastAsia="宋体" w:cs="Times New Roman"/>
      <w:snapToGrid w:val="0"/>
      <w:color w:val="000000"/>
      <w:kern w:val="0"/>
      <w:sz w:val="21"/>
      <w:szCs w:val="20"/>
      <w:lang w:val="en-US" w:eastAsia="zh-CN" w:bidi="ar-SA"/>
    </w:rPr>
  </w:style>
  <w:style w:type="paragraph" w:customStyle="1" w:styleId="319">
    <w:name w:val="样式 标题 3 + (西文) Times New Roman (中文) 宋体 小四 加粗"/>
    <w:basedOn w:val="5"/>
    <w:qFormat/>
    <w:uiPriority w:val="0"/>
    <w:pPr>
      <w:numPr>
        <w:ilvl w:val="2"/>
        <w:numId w:val="3"/>
      </w:numPr>
      <w:tabs>
        <w:tab w:val="left" w:pos="720"/>
        <w:tab w:val="left" w:pos="1021"/>
      </w:tabs>
      <w:adjustRightInd w:val="0"/>
      <w:snapToGrid w:val="0"/>
      <w:spacing w:before="120" w:after="120" w:afterLines="50"/>
      <w:ind w:firstLine="0" w:firstLineChars="0"/>
    </w:pPr>
    <w:rPr>
      <w:rFonts w:hAnsi="宋体" w:eastAsia="仿宋"/>
      <w:snapToGrid w:val="0"/>
      <w:color w:val="FF0000"/>
      <w:sz w:val="24"/>
      <w:szCs w:val="24"/>
    </w:rPr>
  </w:style>
  <w:style w:type="paragraph" w:customStyle="1" w:styleId="320">
    <w:name w:val="报告正文"/>
    <w:basedOn w:val="1"/>
    <w:qFormat/>
    <w:uiPriority w:val="0"/>
    <w:pPr>
      <w:spacing w:before="0" w:beforeLines="0"/>
      <w:ind w:firstLine="482"/>
      <w:jc w:val="both"/>
    </w:pPr>
    <w:rPr>
      <w:rFonts w:eastAsia="仿宋" w:cs="宋体"/>
      <w:kern w:val="0"/>
      <w:szCs w:val="21"/>
    </w:rPr>
  </w:style>
  <w:style w:type="paragraph" w:customStyle="1" w:styleId="321">
    <w:name w:val="标题3"/>
    <w:basedOn w:val="2"/>
    <w:next w:val="2"/>
    <w:qFormat/>
    <w:uiPriority w:val="0"/>
    <w:pPr>
      <w:spacing w:before="0" w:beforeLines="0" w:after="0" w:line="520" w:lineRule="exact"/>
      <w:ind w:firstLine="200"/>
      <w:jc w:val="both"/>
    </w:pPr>
    <w:rPr>
      <w:rFonts w:ascii="宋体" w:hAnsi="宋体" w:eastAsia="仿宋" w:cs="Arial"/>
      <w:bCs/>
      <w:sz w:val="28"/>
    </w:rPr>
  </w:style>
  <w:style w:type="paragraph" w:customStyle="1" w:styleId="322">
    <w:name w:val="单学凯表格新"/>
    <w:basedOn w:val="1"/>
    <w:qFormat/>
    <w:uiPriority w:val="0"/>
    <w:pPr>
      <w:tabs>
        <w:tab w:val="left" w:pos="360"/>
      </w:tabs>
      <w:autoSpaceDE w:val="0"/>
      <w:autoSpaceDN w:val="0"/>
      <w:adjustRightInd w:val="0"/>
      <w:snapToGrid w:val="0"/>
      <w:spacing w:before="0" w:beforeLines="0" w:line="240" w:lineRule="atLeast"/>
      <w:ind w:firstLine="480"/>
      <w:jc w:val="center"/>
    </w:pPr>
    <w:rPr>
      <w:rFonts w:eastAsia="仿宋_GB2312"/>
      <w:color w:val="000000"/>
      <w:kern w:val="0"/>
      <w:sz w:val="28"/>
      <w:szCs w:val="21"/>
    </w:rPr>
  </w:style>
  <w:style w:type="paragraph" w:customStyle="1" w:styleId="323">
    <w:name w:val="表中"/>
    <w:basedOn w:val="1"/>
    <w:qFormat/>
    <w:uiPriority w:val="99"/>
    <w:pPr>
      <w:adjustRightInd w:val="0"/>
      <w:snapToGrid w:val="0"/>
      <w:spacing w:before="0" w:beforeLines="0" w:line="240" w:lineRule="atLeast"/>
      <w:ind w:firstLine="480"/>
    </w:pPr>
    <w:rPr>
      <w:rFonts w:eastAsia="仿宋"/>
      <w:kern w:val="0"/>
      <w:sz w:val="20"/>
      <w:szCs w:val="20"/>
    </w:rPr>
  </w:style>
  <w:style w:type="paragraph" w:customStyle="1" w:styleId="324">
    <w:name w:val="纯文本1"/>
    <w:basedOn w:val="1"/>
    <w:qFormat/>
    <w:uiPriority w:val="0"/>
    <w:pPr>
      <w:adjustRightInd w:val="0"/>
      <w:spacing w:before="0" w:beforeLines="0"/>
      <w:ind w:firstLine="480"/>
      <w:jc w:val="both"/>
      <w:textAlignment w:val="baseline"/>
    </w:pPr>
    <w:rPr>
      <w:rFonts w:ascii="宋体" w:hAnsi="Courier New" w:eastAsia="仿宋"/>
      <w:kern w:val="0"/>
      <w:sz w:val="28"/>
      <w:szCs w:val="20"/>
    </w:rPr>
  </w:style>
  <w:style w:type="paragraph" w:customStyle="1" w:styleId="325">
    <w:name w:val="我的表格"/>
    <w:basedOn w:val="1"/>
    <w:qFormat/>
    <w:uiPriority w:val="0"/>
    <w:pPr>
      <w:autoSpaceDE w:val="0"/>
      <w:autoSpaceDN w:val="0"/>
      <w:adjustRightInd w:val="0"/>
      <w:spacing w:before="0" w:beforeLines="0"/>
      <w:ind w:firstLine="480"/>
      <w:jc w:val="center"/>
    </w:pPr>
    <w:rPr>
      <w:rFonts w:eastAsia="仿宋"/>
      <w:kern w:val="0"/>
      <w:sz w:val="28"/>
      <w:szCs w:val="21"/>
    </w:rPr>
  </w:style>
  <w:style w:type="paragraph" w:customStyle="1" w:styleId="326">
    <w:name w:val="zhang正文"/>
    <w:basedOn w:val="21"/>
    <w:qFormat/>
    <w:uiPriority w:val="0"/>
    <w:pPr>
      <w:adjustRightInd w:val="0"/>
      <w:snapToGrid w:val="0"/>
      <w:spacing w:after="0" w:line="312" w:lineRule="auto"/>
      <w:ind w:left="0" w:leftChars="0" w:firstLine="539" w:firstLineChars="200"/>
      <w:jc w:val="both"/>
    </w:pPr>
    <w:rPr>
      <w:rFonts w:hint="eastAsia" w:ascii="华文新魏" w:eastAsia="华文新魏"/>
      <w:sz w:val="28"/>
      <w:szCs w:val="20"/>
      <w:lang w:val="en-US" w:bidi="ar-SA"/>
    </w:rPr>
  </w:style>
  <w:style w:type="paragraph" w:customStyle="1" w:styleId="327">
    <w:name w:val="表居中（中文）"/>
    <w:basedOn w:val="1"/>
    <w:qFormat/>
    <w:uiPriority w:val="0"/>
    <w:pPr>
      <w:adjustRightInd w:val="0"/>
      <w:spacing w:before="0" w:beforeLines="0" w:line="380" w:lineRule="atLeast"/>
      <w:ind w:firstLine="480"/>
      <w:jc w:val="center"/>
      <w:textAlignment w:val="baseline"/>
    </w:pPr>
    <w:rPr>
      <w:rFonts w:eastAsia="楷体_GB2312"/>
      <w:kern w:val="0"/>
      <w:sz w:val="28"/>
      <w:szCs w:val="20"/>
    </w:rPr>
  </w:style>
  <w:style w:type="paragraph" w:customStyle="1" w:styleId="328">
    <w:name w:val="Char Char Char Char Char Char Char"/>
    <w:basedOn w:val="1"/>
    <w:qFormat/>
    <w:uiPriority w:val="0"/>
    <w:pPr>
      <w:spacing w:before="0" w:beforeLines="0"/>
      <w:ind w:firstLine="480"/>
      <w:jc w:val="both"/>
    </w:pPr>
    <w:rPr>
      <w:rFonts w:eastAsia="仿宋"/>
      <w:kern w:val="0"/>
      <w:szCs w:val="28"/>
    </w:rPr>
  </w:style>
  <w:style w:type="paragraph" w:customStyle="1" w:styleId="329">
    <w:name w:val="标题2"/>
    <w:basedOn w:val="1"/>
    <w:qFormat/>
    <w:uiPriority w:val="0"/>
    <w:pPr>
      <w:keepNext/>
      <w:keepLines/>
      <w:tabs>
        <w:tab w:val="left" w:pos="1134"/>
      </w:tabs>
      <w:adjustRightInd w:val="0"/>
      <w:snapToGrid w:val="0"/>
      <w:spacing w:before="0" w:beforeLines="0" w:line="300" w:lineRule="auto"/>
      <w:ind w:firstLine="480"/>
      <w:jc w:val="both"/>
      <w:outlineLvl w:val="1"/>
    </w:pPr>
    <w:rPr>
      <w:rFonts w:ascii="黑体" w:hAnsi="宋体" w:eastAsia="黑体"/>
      <w:bCs/>
      <w:color w:val="000000"/>
      <w:kern w:val="0"/>
      <w:sz w:val="28"/>
      <w:szCs w:val="20"/>
    </w:rPr>
  </w:style>
  <w:style w:type="paragraph" w:customStyle="1" w:styleId="330">
    <w:name w:val="表文字"/>
    <w:basedOn w:val="48"/>
    <w:qFormat/>
    <w:uiPriority w:val="0"/>
    <w:pPr>
      <w:widowControl/>
      <w:autoSpaceDE/>
      <w:autoSpaceDN/>
      <w:spacing w:before="0" w:beforeAutospacing="0" w:after="0" w:afterAutospacing="0" w:line="360" w:lineRule="auto"/>
      <w:ind w:firstLine="480" w:firstLineChars="200"/>
      <w:jc w:val="center"/>
    </w:pPr>
    <w:rPr>
      <w:sz w:val="21"/>
      <w:szCs w:val="21"/>
    </w:rPr>
  </w:style>
  <w:style w:type="paragraph" w:customStyle="1" w:styleId="331">
    <w:name w:val="正文2"/>
    <w:qFormat/>
    <w:uiPriority w:val="0"/>
    <w:pPr>
      <w:widowControl w:val="0"/>
      <w:adjustRightInd w:val="0"/>
      <w:spacing w:line="312" w:lineRule="atLeast"/>
      <w:jc w:val="both"/>
      <w:textAlignment w:val="baseline"/>
    </w:pPr>
    <w:rPr>
      <w:rFonts w:ascii="Times New Roman" w:hAnsi="Times New Roman" w:eastAsia="仿宋" w:cs="Times New Roman"/>
      <w:kern w:val="0"/>
      <w:sz w:val="28"/>
      <w:szCs w:val="28"/>
      <w:lang w:val="en-US" w:eastAsia="zh-CN" w:bidi="ar-SA"/>
    </w:rPr>
  </w:style>
  <w:style w:type="paragraph" w:customStyle="1" w:styleId="332">
    <w:name w:val="Char Char Char Char Char Char Char Char Char Char"/>
    <w:basedOn w:val="1"/>
    <w:qFormat/>
    <w:uiPriority w:val="0"/>
    <w:pPr>
      <w:spacing w:before="0" w:beforeLines="0"/>
      <w:ind w:firstLine="480"/>
      <w:jc w:val="both"/>
    </w:pPr>
    <w:rPr>
      <w:rFonts w:ascii="黑体" w:hAnsi="黑体" w:eastAsia="黑体"/>
      <w:b/>
      <w:spacing w:val="10"/>
      <w:kern w:val="44"/>
      <w:sz w:val="28"/>
      <w:szCs w:val="20"/>
    </w:rPr>
  </w:style>
  <w:style w:type="paragraph" w:customStyle="1" w:styleId="333">
    <w:name w:val="样式12"/>
    <w:basedOn w:val="268"/>
    <w:qFormat/>
    <w:uiPriority w:val="0"/>
    <w:pPr>
      <w:adjustRightInd w:val="0"/>
    </w:pPr>
    <w:rPr>
      <w:rFonts w:ascii="仿宋_GB2312" w:hAnsi="宋体" w:eastAsia="仿宋_GB2312"/>
      <w:b/>
      <w:color w:val="FF0000"/>
      <w:szCs w:val="30"/>
    </w:rPr>
  </w:style>
  <w:style w:type="paragraph" w:customStyle="1" w:styleId="334">
    <w:name w:val="款"/>
    <w:basedOn w:val="1"/>
    <w:qFormat/>
    <w:uiPriority w:val="0"/>
    <w:pPr>
      <w:spacing w:before="0" w:beforeLines="0"/>
      <w:ind w:firstLine="480"/>
      <w:jc w:val="both"/>
    </w:pPr>
    <w:rPr>
      <w:rFonts w:eastAsia="仿宋"/>
      <w:kern w:val="0"/>
      <w:sz w:val="28"/>
      <w:szCs w:val="20"/>
    </w:rPr>
  </w:style>
  <w:style w:type="paragraph" w:customStyle="1" w:styleId="335">
    <w:name w:val="小四表文居中"/>
    <w:qFormat/>
    <w:uiPriority w:val="0"/>
    <w:pPr>
      <w:widowControl w:val="0"/>
      <w:jc w:val="center"/>
    </w:pPr>
    <w:rPr>
      <w:rFonts w:ascii="Times New Roman" w:hAnsi="Times New Roman" w:eastAsia="宋体" w:cs="Times New Roman"/>
      <w:color w:val="000000"/>
      <w:kern w:val="2"/>
      <w:sz w:val="21"/>
      <w:szCs w:val="21"/>
      <w:lang w:val="en-US" w:eastAsia="zh-CN" w:bidi="ar-SA"/>
    </w:rPr>
  </w:style>
  <w:style w:type="paragraph" w:customStyle="1" w:styleId="336">
    <w:name w:val="三级标题"/>
    <w:basedOn w:val="50"/>
    <w:qFormat/>
    <w:uiPriority w:val="0"/>
    <w:pPr>
      <w:spacing w:before="260" w:after="0" w:line="460" w:lineRule="exact"/>
      <w:jc w:val="both"/>
      <w:outlineLvl w:val="2"/>
    </w:pPr>
    <w:rPr>
      <w:rFonts w:ascii="Times New Roman" w:hAnsi="Times New Roman" w:eastAsia="宋体"/>
      <w:kern w:val="0"/>
      <w:sz w:val="24"/>
      <w:szCs w:val="24"/>
    </w:rPr>
  </w:style>
  <w:style w:type="paragraph" w:customStyle="1" w:styleId="337">
    <w:name w:val="应急预案正文"/>
    <w:basedOn w:val="1"/>
    <w:qFormat/>
    <w:uiPriority w:val="99"/>
    <w:pPr>
      <w:spacing w:before="0" w:beforeLines="0"/>
      <w:ind w:firstLine="480"/>
      <w:jc w:val="both"/>
    </w:pPr>
    <w:rPr>
      <w:rFonts w:hAnsi="宋体" w:eastAsia="仿宋"/>
      <w:color w:val="FF0000"/>
      <w:kern w:val="0"/>
      <w:sz w:val="28"/>
      <w:szCs w:val="20"/>
    </w:rPr>
  </w:style>
  <w:style w:type="paragraph" w:customStyle="1" w:styleId="338">
    <w:name w:val="表图头"/>
    <w:basedOn w:val="1"/>
    <w:qFormat/>
    <w:uiPriority w:val="0"/>
    <w:pPr>
      <w:spacing w:before="0" w:beforeLines="0"/>
      <w:ind w:firstLine="480"/>
      <w:jc w:val="center"/>
    </w:pPr>
    <w:rPr>
      <w:rFonts w:eastAsia="黑体"/>
      <w:kern w:val="0"/>
      <w:szCs w:val="28"/>
    </w:rPr>
  </w:style>
  <w:style w:type="paragraph" w:customStyle="1" w:styleId="339">
    <w:name w:val="表格内容格式"/>
    <w:qFormat/>
    <w:uiPriority w:val="0"/>
    <w:pPr>
      <w:widowControl w:val="0"/>
      <w:adjustRightInd w:val="0"/>
      <w:jc w:val="center"/>
      <w:textAlignment w:val="baseline"/>
    </w:pPr>
    <w:rPr>
      <w:rFonts w:ascii="Times New Roman" w:hAnsi="Times New Roman" w:eastAsia="宋体" w:cs="Times New Roman"/>
      <w:snapToGrid w:val="0"/>
      <w:kern w:val="2"/>
      <w:sz w:val="21"/>
      <w:szCs w:val="21"/>
      <w:lang w:val="en-US" w:eastAsia="zh-CN" w:bidi="ar-SA"/>
    </w:rPr>
  </w:style>
  <w:style w:type="paragraph" w:customStyle="1" w:styleId="340">
    <w:name w:val="xl34"/>
    <w:basedOn w:val="1"/>
    <w:qFormat/>
    <w:uiPriority w:val="0"/>
    <w:pPr>
      <w:widowControl/>
      <w:pBdr>
        <w:bottom w:val="single" w:color="auto" w:sz="4" w:space="0"/>
        <w:right w:val="single" w:color="auto" w:sz="4" w:space="0"/>
      </w:pBdr>
      <w:spacing w:before="100" w:beforeLines="0" w:beforeAutospacing="1" w:after="100" w:afterAutospacing="1"/>
      <w:ind w:firstLine="480"/>
      <w:jc w:val="center"/>
      <w:textAlignment w:val="center"/>
    </w:pPr>
    <w:rPr>
      <w:rFonts w:eastAsia="仿宋"/>
      <w:kern w:val="0"/>
      <w:szCs w:val="28"/>
    </w:rPr>
  </w:style>
  <w:style w:type="paragraph" w:customStyle="1" w:styleId="341">
    <w:name w:val="xl28"/>
    <w:basedOn w:val="1"/>
    <w:qFormat/>
    <w:uiPriority w:val="0"/>
    <w:pPr>
      <w:widowControl/>
      <w:pBdr>
        <w:left w:val="single" w:color="auto" w:sz="4" w:space="0"/>
        <w:right w:val="single" w:color="auto" w:sz="4" w:space="0"/>
      </w:pBdr>
      <w:spacing w:before="100" w:beforeLines="0" w:beforeAutospacing="1" w:after="100" w:afterAutospacing="1"/>
      <w:ind w:firstLine="480"/>
      <w:jc w:val="center"/>
      <w:textAlignment w:val="center"/>
    </w:pPr>
    <w:rPr>
      <w:rFonts w:ascii="宋体" w:hAnsi="宋体" w:eastAsia="仿宋"/>
      <w:kern w:val="0"/>
      <w:szCs w:val="28"/>
    </w:rPr>
  </w:style>
  <w:style w:type="paragraph" w:customStyle="1" w:styleId="342">
    <w:name w:val="正文文字"/>
    <w:basedOn w:val="1"/>
    <w:qFormat/>
    <w:uiPriority w:val="0"/>
    <w:pPr>
      <w:adjustRightInd w:val="0"/>
      <w:snapToGrid w:val="0"/>
      <w:spacing w:before="0" w:beforeLines="0"/>
      <w:ind w:firstLine="560"/>
    </w:pPr>
    <w:rPr>
      <w:rFonts w:ascii="宋体" w:hAnsi="宋体" w:eastAsia="仿宋" w:cs="Arial"/>
      <w:bCs/>
      <w:kern w:val="0"/>
      <w:szCs w:val="28"/>
      <w:lang w:val="de-DE"/>
    </w:rPr>
  </w:style>
  <w:style w:type="paragraph" w:customStyle="1" w:styleId="343">
    <w:name w:val="正文文本缩进1"/>
    <w:basedOn w:val="1"/>
    <w:qFormat/>
    <w:uiPriority w:val="0"/>
    <w:pPr>
      <w:spacing w:before="0" w:beforeLines="0" w:after="120"/>
      <w:ind w:left="420" w:leftChars="200" w:firstLine="200"/>
      <w:jc w:val="both"/>
    </w:pPr>
    <w:rPr>
      <w:rFonts w:eastAsia="仿宋"/>
      <w:kern w:val="0"/>
      <w:szCs w:val="28"/>
    </w:rPr>
  </w:style>
  <w:style w:type="paragraph" w:customStyle="1" w:styleId="344">
    <w:name w:val="Bullet"/>
    <w:basedOn w:val="1"/>
    <w:qFormat/>
    <w:uiPriority w:val="0"/>
    <w:pPr>
      <w:widowControl/>
      <w:numPr>
        <w:ilvl w:val="0"/>
        <w:numId w:val="4"/>
      </w:numPr>
      <w:tabs>
        <w:tab w:val="left" w:pos="720"/>
      </w:tabs>
      <w:spacing w:before="0" w:beforeLines="0" w:after="60" w:line="300" w:lineRule="atLeast"/>
      <w:ind w:firstLine="200"/>
      <w:jc w:val="both"/>
    </w:pPr>
    <w:rPr>
      <w:rFonts w:eastAsia="仿宋"/>
      <w:kern w:val="0"/>
      <w:sz w:val="22"/>
      <w:szCs w:val="28"/>
    </w:rPr>
  </w:style>
  <w:style w:type="paragraph" w:customStyle="1" w:styleId="345">
    <w:name w:val="Char1 Char Char Char Char Char1 Char1"/>
    <w:basedOn w:val="1"/>
    <w:qFormat/>
    <w:uiPriority w:val="0"/>
    <w:pPr>
      <w:spacing w:before="0" w:beforeLines="0"/>
      <w:ind w:firstLine="480"/>
      <w:jc w:val="both"/>
    </w:pPr>
    <w:rPr>
      <w:rFonts w:eastAsia="仿宋"/>
      <w:kern w:val="0"/>
      <w:sz w:val="28"/>
      <w:szCs w:val="21"/>
    </w:rPr>
  </w:style>
  <w:style w:type="paragraph" w:customStyle="1" w:styleId="346">
    <w:name w:val="默认段落字体 Para Char Char Char Char Char Char Char Char Char Char Char Char Char"/>
    <w:basedOn w:val="1"/>
    <w:qFormat/>
    <w:uiPriority w:val="0"/>
    <w:pPr>
      <w:spacing w:before="0" w:beforeLines="0"/>
      <w:ind w:firstLine="480"/>
      <w:jc w:val="both"/>
    </w:pPr>
    <w:rPr>
      <w:rFonts w:eastAsia="仿宋"/>
      <w:kern w:val="0"/>
      <w:sz w:val="28"/>
      <w:szCs w:val="28"/>
    </w:rPr>
  </w:style>
  <w:style w:type="paragraph" w:customStyle="1" w:styleId="347">
    <w:name w:val="xl23"/>
    <w:basedOn w:val="1"/>
    <w:qFormat/>
    <w:uiPriority w:val="0"/>
    <w:pPr>
      <w:widowControl/>
      <w:pBdr>
        <w:left w:val="single" w:color="auto" w:sz="4" w:space="0"/>
        <w:bottom w:val="single" w:color="auto" w:sz="4" w:space="0"/>
        <w:right w:val="single" w:color="auto" w:sz="4" w:space="0"/>
      </w:pBdr>
      <w:spacing w:before="100" w:beforeLines="0" w:beforeAutospacing="1" w:after="100" w:afterAutospacing="1"/>
      <w:ind w:firstLine="480"/>
      <w:jc w:val="center"/>
      <w:textAlignment w:val="center"/>
    </w:pPr>
    <w:rPr>
      <w:rFonts w:ascii="Arial Unicode MS" w:hAnsi="Arial Unicode MS" w:eastAsia="Arial Unicode MS"/>
      <w:kern w:val="0"/>
      <w:szCs w:val="28"/>
    </w:rPr>
  </w:style>
  <w:style w:type="paragraph" w:customStyle="1" w:styleId="348">
    <w:name w:val="正文缩进2"/>
    <w:basedOn w:val="1"/>
    <w:qFormat/>
    <w:uiPriority w:val="0"/>
    <w:pPr>
      <w:adjustRightInd w:val="0"/>
      <w:spacing w:before="0" w:beforeLines="0"/>
      <w:ind w:firstLine="420"/>
      <w:jc w:val="both"/>
      <w:textAlignment w:val="baseline"/>
    </w:pPr>
    <w:rPr>
      <w:rFonts w:hint="eastAsia" w:hAnsi="宋体" w:eastAsia="仿宋"/>
      <w:kern w:val="0"/>
      <w:szCs w:val="20"/>
    </w:rPr>
  </w:style>
  <w:style w:type="paragraph" w:customStyle="1" w:styleId="349">
    <w:name w:val="注释"/>
    <w:basedOn w:val="1"/>
    <w:qFormat/>
    <w:uiPriority w:val="0"/>
    <w:pPr>
      <w:spacing w:before="60" w:beforeLines="0" w:line="360" w:lineRule="exact"/>
      <w:ind w:firstLine="200"/>
      <w:jc w:val="both"/>
    </w:pPr>
    <w:rPr>
      <w:rFonts w:eastAsia="仿宋"/>
      <w:kern w:val="0"/>
      <w:sz w:val="28"/>
      <w:szCs w:val="21"/>
    </w:rPr>
  </w:style>
  <w:style w:type="paragraph" w:customStyle="1" w:styleId="350">
    <w:name w:val="样式 样式 标题 2节 + (西文) Times New Roman (中文) 宋体 四号 段前: 0.5 行 段后: 0......"/>
    <w:basedOn w:val="1"/>
    <w:qFormat/>
    <w:uiPriority w:val="0"/>
    <w:pPr>
      <w:keepNext/>
      <w:keepLines/>
      <w:numPr>
        <w:ilvl w:val="1"/>
        <w:numId w:val="3"/>
      </w:numPr>
      <w:tabs>
        <w:tab w:val="left" w:pos="720"/>
      </w:tabs>
      <w:adjustRightInd w:val="0"/>
      <w:snapToGrid w:val="0"/>
      <w:spacing w:before="216" w:beforeLines="90" w:after="216" w:afterLines="90" w:line="300" w:lineRule="auto"/>
      <w:ind w:firstLine="200"/>
      <w:jc w:val="both"/>
      <w:outlineLvl w:val="1"/>
    </w:pPr>
    <w:rPr>
      <w:rFonts w:hAnsi="宋体" w:eastAsia="仿宋"/>
      <w:b/>
      <w:bCs/>
      <w:color w:val="FF0000"/>
      <w:kern w:val="0"/>
      <w:sz w:val="28"/>
      <w:szCs w:val="28"/>
    </w:rPr>
  </w:style>
  <w:style w:type="paragraph" w:customStyle="1" w:styleId="351">
    <w:name w:val="Char Char Char Char Char Char Char Char Char Char Char Char Char Char Char Char Char Char Char Char Char Char Char Char Char Char Char Char Char Char2 Char Char Char Char Char Char Char"/>
    <w:basedOn w:val="1"/>
    <w:qFormat/>
    <w:uiPriority w:val="0"/>
    <w:pPr>
      <w:spacing w:before="0" w:beforeLines="0"/>
      <w:ind w:firstLine="480"/>
      <w:jc w:val="both"/>
    </w:pPr>
    <w:rPr>
      <w:rFonts w:eastAsia="仿宋"/>
      <w:kern w:val="0"/>
      <w:szCs w:val="28"/>
    </w:rPr>
  </w:style>
  <w:style w:type="paragraph" w:customStyle="1" w:styleId="352">
    <w:name w:val="reader-word-layer reader-word-s1-7"/>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353">
    <w:name w:val="Char2"/>
    <w:basedOn w:val="1"/>
    <w:qFormat/>
    <w:uiPriority w:val="0"/>
    <w:pPr>
      <w:adjustRightInd w:val="0"/>
      <w:spacing w:before="0" w:beforeLines="0"/>
      <w:ind w:firstLine="480"/>
      <w:jc w:val="both"/>
    </w:pPr>
    <w:rPr>
      <w:rFonts w:eastAsia="仿宋"/>
      <w:kern w:val="0"/>
      <w:szCs w:val="20"/>
    </w:rPr>
  </w:style>
  <w:style w:type="paragraph" w:customStyle="1" w:styleId="354">
    <w:name w:val="7"/>
    <w:basedOn w:val="1"/>
    <w:next w:val="15"/>
    <w:qFormat/>
    <w:uiPriority w:val="0"/>
    <w:pPr>
      <w:adjustRightInd w:val="0"/>
      <w:snapToGrid w:val="0"/>
      <w:spacing w:before="0" w:beforeLines="0" w:line="312" w:lineRule="auto"/>
      <w:ind w:firstLine="200"/>
      <w:jc w:val="both"/>
    </w:pPr>
    <w:rPr>
      <w:rFonts w:ascii="仿宋_GB2312" w:eastAsia="仿宋_GB2312"/>
      <w:kern w:val="0"/>
      <w:sz w:val="28"/>
      <w:szCs w:val="28"/>
    </w:rPr>
  </w:style>
  <w:style w:type="paragraph" w:customStyle="1" w:styleId="355">
    <w:name w:val="表格内"/>
    <w:qFormat/>
    <w:uiPriority w:val="0"/>
    <w:pPr>
      <w:jc w:val="center"/>
    </w:pPr>
    <w:rPr>
      <w:rFonts w:ascii="Times New Roman" w:hAnsi="Times New Roman" w:eastAsia="Times New Roman" w:cs="Times New Roman"/>
      <w:kern w:val="2"/>
      <w:sz w:val="21"/>
      <w:szCs w:val="21"/>
      <w:lang w:val="en-US" w:eastAsia="zh-CN" w:bidi="ar-SA"/>
    </w:rPr>
  </w:style>
  <w:style w:type="paragraph" w:customStyle="1" w:styleId="356">
    <w:name w:val="p17"/>
    <w:basedOn w:val="1"/>
    <w:qFormat/>
    <w:uiPriority w:val="0"/>
    <w:pPr>
      <w:widowControl/>
      <w:spacing w:before="0" w:beforeLines="0"/>
      <w:ind w:firstLine="480"/>
      <w:jc w:val="both"/>
    </w:pPr>
    <w:rPr>
      <w:rFonts w:eastAsia="仿宋"/>
      <w:kern w:val="0"/>
      <w:sz w:val="28"/>
      <w:szCs w:val="20"/>
    </w:rPr>
  </w:style>
  <w:style w:type="paragraph" w:customStyle="1" w:styleId="357">
    <w:name w:val="Char Char1 Char Char Char Char"/>
    <w:basedOn w:val="1"/>
    <w:qFormat/>
    <w:uiPriority w:val="0"/>
    <w:pPr>
      <w:spacing w:before="0" w:beforeLines="0"/>
      <w:ind w:firstLine="480"/>
      <w:jc w:val="both"/>
    </w:pPr>
    <w:rPr>
      <w:rFonts w:eastAsia="仿宋"/>
      <w:kern w:val="0"/>
      <w:szCs w:val="28"/>
    </w:rPr>
  </w:style>
  <w:style w:type="paragraph" w:customStyle="1" w:styleId="358">
    <w:name w:val="样式 正文缩进正文缩进2正文缩进 Char Char正文缩进 Char Char Char Char正文缩进 Char ..."/>
    <w:basedOn w:val="15"/>
    <w:qFormat/>
    <w:uiPriority w:val="0"/>
    <w:pPr>
      <w:spacing w:line="360" w:lineRule="auto"/>
      <w:ind w:firstLine="200"/>
    </w:pPr>
    <w:rPr>
      <w:rFonts w:ascii="仿宋_GB2312" w:hAnsi="Times New Roman" w:eastAsia="仿宋_GB2312" w:cs="宋体"/>
      <w:sz w:val="24"/>
      <w:szCs w:val="28"/>
    </w:rPr>
  </w:style>
  <w:style w:type="paragraph" w:customStyle="1" w:styleId="359">
    <w:name w:val="Char Char Char Char Char Char1"/>
    <w:basedOn w:val="1"/>
    <w:qFormat/>
    <w:uiPriority w:val="0"/>
    <w:pPr>
      <w:spacing w:before="0" w:beforeLines="0"/>
      <w:ind w:firstLine="480"/>
      <w:jc w:val="both"/>
    </w:pPr>
    <w:rPr>
      <w:rFonts w:eastAsia="仿宋"/>
      <w:kern w:val="0"/>
      <w:szCs w:val="28"/>
    </w:rPr>
  </w:style>
  <w:style w:type="paragraph" w:customStyle="1" w:styleId="360">
    <w:name w:val="表1"/>
    <w:basedOn w:val="1"/>
    <w:qFormat/>
    <w:uiPriority w:val="0"/>
    <w:pPr>
      <w:spacing w:before="0" w:beforeLines="0"/>
      <w:ind w:firstLine="480"/>
      <w:jc w:val="center"/>
    </w:pPr>
    <w:rPr>
      <w:rFonts w:ascii="宋体" w:hAnsi="宋体" w:eastAsia="仿宋"/>
      <w:color w:val="000000"/>
      <w:kern w:val="0"/>
      <w:sz w:val="28"/>
      <w:szCs w:val="28"/>
    </w:rPr>
  </w:style>
  <w:style w:type="paragraph" w:customStyle="1" w:styleId="361">
    <w:name w:val="表格03"/>
    <w:basedOn w:val="1"/>
    <w:qFormat/>
    <w:uiPriority w:val="0"/>
    <w:pPr>
      <w:spacing w:before="0" w:beforeLines="0" w:line="400" w:lineRule="exact"/>
      <w:ind w:firstLine="480"/>
      <w:jc w:val="center"/>
    </w:pPr>
    <w:rPr>
      <w:rFonts w:eastAsia="仿宋"/>
      <w:kern w:val="0"/>
      <w:sz w:val="28"/>
      <w:szCs w:val="21"/>
    </w:rPr>
  </w:style>
  <w:style w:type="paragraph" w:customStyle="1" w:styleId="362">
    <w:name w:val="框图"/>
    <w:basedOn w:val="1"/>
    <w:qFormat/>
    <w:uiPriority w:val="0"/>
    <w:pPr>
      <w:adjustRightInd w:val="0"/>
      <w:snapToGrid w:val="0"/>
      <w:spacing w:before="0" w:beforeLines="0"/>
      <w:ind w:left="2" w:leftChars="-38" w:right="-106" w:rightChars="-38" w:hanging="108" w:hangingChars="54"/>
      <w:jc w:val="center"/>
    </w:pPr>
    <w:rPr>
      <w:rFonts w:ascii="仿宋_GB2312" w:eastAsia="仿宋_GB2312"/>
      <w:kern w:val="0"/>
      <w:sz w:val="20"/>
      <w:szCs w:val="20"/>
    </w:rPr>
  </w:style>
  <w:style w:type="paragraph" w:customStyle="1" w:styleId="363">
    <w:name w:val="样式 楷体_GB2312 居中"/>
    <w:basedOn w:val="1"/>
    <w:qFormat/>
    <w:uiPriority w:val="0"/>
    <w:pPr>
      <w:spacing w:before="0" w:beforeLines="0"/>
      <w:ind w:firstLine="480"/>
      <w:jc w:val="center"/>
    </w:pPr>
    <w:rPr>
      <w:rFonts w:ascii="楷体_GB2312" w:eastAsia="楷体_GB2312"/>
      <w:kern w:val="0"/>
      <w:sz w:val="28"/>
      <w:szCs w:val="20"/>
    </w:rPr>
  </w:style>
  <w:style w:type="paragraph" w:customStyle="1" w:styleId="364">
    <w:name w:val="表头文字"/>
    <w:basedOn w:val="1"/>
    <w:qFormat/>
    <w:uiPriority w:val="0"/>
    <w:pPr>
      <w:spacing w:before="0" w:beforeLines="0"/>
      <w:ind w:firstLine="480"/>
      <w:jc w:val="center"/>
    </w:pPr>
    <w:rPr>
      <w:rFonts w:eastAsia="楷体_GB2312"/>
      <w:b/>
      <w:kern w:val="0"/>
      <w:szCs w:val="20"/>
    </w:rPr>
  </w:style>
  <w:style w:type="paragraph" w:customStyle="1" w:styleId="365">
    <w:name w:val="样式4"/>
    <w:basedOn w:val="1"/>
    <w:next w:val="268"/>
    <w:qFormat/>
    <w:uiPriority w:val="0"/>
    <w:pPr>
      <w:adjustRightInd w:val="0"/>
      <w:spacing w:before="0" w:beforeLines="0"/>
      <w:ind w:firstLine="480"/>
      <w:jc w:val="both"/>
      <w:textAlignment w:val="baseline"/>
    </w:pPr>
    <w:rPr>
      <w:rFonts w:eastAsia="仿宋"/>
      <w:kern w:val="0"/>
      <w:sz w:val="28"/>
      <w:szCs w:val="28"/>
    </w:rPr>
  </w:style>
  <w:style w:type="paragraph" w:customStyle="1" w:styleId="366">
    <w:name w:val="5"/>
    <w:basedOn w:val="1"/>
    <w:next w:val="26"/>
    <w:qFormat/>
    <w:uiPriority w:val="0"/>
    <w:pPr>
      <w:spacing w:before="0" w:beforeLines="0"/>
      <w:ind w:firstLine="480"/>
      <w:jc w:val="both"/>
    </w:pPr>
    <w:rPr>
      <w:rFonts w:ascii="宋体" w:hAnsi="Courier New" w:eastAsia="仿宋"/>
      <w:kern w:val="0"/>
      <w:sz w:val="28"/>
      <w:szCs w:val="28"/>
    </w:rPr>
  </w:style>
  <w:style w:type="paragraph" w:customStyle="1" w:styleId="367">
    <w:name w:val="样式3"/>
    <w:basedOn w:val="1"/>
    <w:next w:val="368"/>
    <w:qFormat/>
    <w:uiPriority w:val="0"/>
    <w:pPr>
      <w:adjustRightInd w:val="0"/>
      <w:spacing w:before="0" w:beforeLines="0"/>
      <w:ind w:firstLine="480"/>
      <w:jc w:val="center"/>
      <w:textAlignment w:val="baseline"/>
    </w:pPr>
    <w:rPr>
      <w:rFonts w:ascii="仿宋_GB2312" w:eastAsia="仿宋_GB2312"/>
      <w:color w:val="FF0000"/>
      <w:kern w:val="0"/>
      <w:szCs w:val="28"/>
    </w:rPr>
  </w:style>
  <w:style w:type="paragraph" w:customStyle="1" w:styleId="368">
    <w:name w:val="图文框"/>
    <w:basedOn w:val="1"/>
    <w:qFormat/>
    <w:uiPriority w:val="0"/>
    <w:pPr>
      <w:spacing w:before="0" w:beforeLines="0"/>
      <w:ind w:firstLine="480"/>
      <w:jc w:val="center"/>
    </w:pPr>
    <w:rPr>
      <w:rFonts w:ascii="仿宋_GB2312" w:hAnsi="Tahoma" w:eastAsia="仿宋_GB2312" w:cs="Tahoma"/>
      <w:bCs/>
      <w:color w:val="000000"/>
      <w:kern w:val="0"/>
      <w:sz w:val="20"/>
      <w:szCs w:val="20"/>
    </w:rPr>
  </w:style>
  <w:style w:type="paragraph" w:customStyle="1" w:styleId="369">
    <w:name w:val="表格编号"/>
    <w:basedOn w:val="1"/>
    <w:next w:val="1"/>
    <w:qFormat/>
    <w:uiPriority w:val="0"/>
    <w:pPr>
      <w:tabs>
        <w:tab w:val="left" w:pos="600"/>
        <w:tab w:val="left" w:pos="720"/>
      </w:tabs>
      <w:spacing w:before="300" w:beforeLines="0" w:after="200"/>
      <w:ind w:firstLine="480"/>
      <w:jc w:val="center"/>
    </w:pPr>
    <w:rPr>
      <w:rFonts w:eastAsia="仿宋"/>
      <w:kern w:val="0"/>
      <w:szCs w:val="20"/>
    </w:rPr>
  </w:style>
  <w:style w:type="paragraph" w:customStyle="1" w:styleId="370">
    <w:name w:val="xl29"/>
    <w:basedOn w:val="1"/>
    <w:qFormat/>
    <w:uiPriority w:val="0"/>
    <w:pPr>
      <w:widowControl/>
      <w:spacing w:before="100" w:beforeLines="0" w:beforeAutospacing="1" w:after="100" w:afterAutospacing="1"/>
      <w:ind w:firstLine="480"/>
      <w:textAlignment w:val="center"/>
    </w:pPr>
    <w:rPr>
      <w:rFonts w:eastAsia="仿宋"/>
      <w:kern w:val="0"/>
      <w:sz w:val="16"/>
      <w:szCs w:val="16"/>
    </w:rPr>
  </w:style>
  <w:style w:type="paragraph" w:customStyle="1" w:styleId="371">
    <w:name w:val="custom_unionstyle"/>
    <w:basedOn w:val="1"/>
    <w:qFormat/>
    <w:uiPriority w:val="0"/>
    <w:pPr>
      <w:widowControl/>
      <w:spacing w:before="100" w:beforeLines="0" w:beforeAutospacing="1" w:after="100" w:afterAutospacing="1"/>
      <w:ind w:firstLine="0" w:firstLineChars="0"/>
    </w:pPr>
    <w:rPr>
      <w:rFonts w:ascii="宋体" w:hAnsi="宋体" w:eastAsia="仿宋" w:cs="宋体"/>
      <w:kern w:val="0"/>
      <w:sz w:val="28"/>
      <w:szCs w:val="22"/>
    </w:rPr>
  </w:style>
  <w:style w:type="paragraph" w:customStyle="1" w:styleId="372">
    <w:name w:val="居中正文"/>
    <w:basedOn w:val="52"/>
    <w:qFormat/>
    <w:uiPriority w:val="0"/>
    <w:pPr>
      <w:adjustRightInd w:val="0"/>
      <w:spacing w:before="120" w:after="0"/>
      <w:ind w:firstLine="0" w:firstLineChars="0"/>
      <w:jc w:val="center"/>
    </w:pPr>
    <w:rPr>
      <w:rFonts w:ascii="宋体"/>
      <w:kern w:val="28"/>
    </w:rPr>
  </w:style>
  <w:style w:type="paragraph" w:customStyle="1" w:styleId="373">
    <w:name w:val="标题4"/>
    <w:basedOn w:val="6"/>
    <w:next w:val="1"/>
    <w:qFormat/>
    <w:uiPriority w:val="0"/>
    <w:pPr>
      <w:adjustRightInd w:val="0"/>
      <w:spacing w:before="0"/>
      <w:ind w:left="482" w:hanging="482" w:hangingChars="100"/>
      <w:textAlignment w:val="baseline"/>
    </w:pPr>
    <w:rPr>
      <w:rFonts w:eastAsia="仿宋"/>
      <w:bCs/>
      <w:szCs w:val="28"/>
    </w:rPr>
  </w:style>
  <w:style w:type="paragraph" w:customStyle="1" w:styleId="374">
    <w:name w:val="样式7"/>
    <w:basedOn w:val="141"/>
    <w:qFormat/>
    <w:uiPriority w:val="0"/>
    <w:pPr>
      <w:adjustRightInd w:val="0"/>
      <w:textAlignment w:val="baseline"/>
    </w:pPr>
    <w:rPr>
      <w:rFonts w:hAnsi="宋体"/>
      <w:bCs/>
      <w:color w:val="000000"/>
      <w:sz w:val="24"/>
      <w:szCs w:val="20"/>
    </w:rPr>
  </w:style>
  <w:style w:type="paragraph" w:customStyle="1" w:styleId="375">
    <w:name w:val="正文文字 2"/>
    <w:basedOn w:val="1"/>
    <w:qFormat/>
    <w:uiPriority w:val="0"/>
    <w:pPr>
      <w:spacing w:before="0" w:beforeLines="0"/>
      <w:ind w:firstLine="480"/>
      <w:jc w:val="center"/>
    </w:pPr>
    <w:rPr>
      <w:rFonts w:ascii="宋体" w:hAnsi="宋体" w:eastAsia="仿宋"/>
      <w:kern w:val="0"/>
      <w:sz w:val="28"/>
      <w:szCs w:val="21"/>
    </w:rPr>
  </w:style>
  <w:style w:type="paragraph" w:customStyle="1" w:styleId="376">
    <w:name w:val="p6"/>
    <w:basedOn w:val="1"/>
    <w:qFormat/>
    <w:uiPriority w:val="0"/>
    <w:pPr>
      <w:tabs>
        <w:tab w:val="left" w:pos="4720"/>
      </w:tabs>
      <w:spacing w:before="0" w:beforeLines="0" w:line="240" w:lineRule="atLeast"/>
      <w:ind w:left="3280" w:firstLine="480"/>
    </w:pPr>
    <w:rPr>
      <w:rFonts w:ascii="Arial" w:hAnsi="Arial" w:eastAsia="仿宋"/>
      <w:snapToGrid w:val="0"/>
      <w:kern w:val="0"/>
      <w:szCs w:val="20"/>
      <w:lang w:eastAsia="en-US"/>
    </w:rPr>
  </w:style>
  <w:style w:type="paragraph" w:customStyle="1" w:styleId="377">
    <w:name w:val="reader-word-layer reader-word-s1-5"/>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378">
    <w:name w:val="样式9"/>
    <w:basedOn w:val="268"/>
    <w:qFormat/>
    <w:uiPriority w:val="0"/>
    <w:pPr>
      <w:adjustRightInd w:val="0"/>
    </w:pPr>
    <w:rPr>
      <w:rFonts w:ascii="宋体" w:hAnsi="宋体" w:cs="Arial"/>
      <w:color w:val="FF0000"/>
    </w:rPr>
  </w:style>
  <w:style w:type="paragraph" w:customStyle="1" w:styleId="379">
    <w:name w:val="ST20_1"/>
    <w:basedOn w:val="1"/>
    <w:qFormat/>
    <w:uiPriority w:val="0"/>
    <w:pPr>
      <w:autoSpaceDE w:val="0"/>
      <w:autoSpaceDN w:val="0"/>
      <w:adjustRightInd w:val="0"/>
      <w:spacing w:before="0" w:beforeLines="0" w:line="312" w:lineRule="atLeast"/>
      <w:ind w:firstLine="480"/>
      <w:jc w:val="center"/>
      <w:textAlignment w:val="baseline"/>
    </w:pPr>
    <w:rPr>
      <w:rFonts w:ascii="宋体" w:hAnsi="Tms Rmn" w:eastAsia="仿宋"/>
      <w:kern w:val="0"/>
      <w:szCs w:val="20"/>
    </w:rPr>
  </w:style>
  <w:style w:type="paragraph" w:customStyle="1" w:styleId="380">
    <w:name w:val="样式11"/>
    <w:basedOn w:val="141"/>
    <w:qFormat/>
    <w:uiPriority w:val="0"/>
    <w:pPr>
      <w:adjustRightInd w:val="0"/>
      <w:textAlignment w:val="baseline"/>
    </w:pPr>
    <w:rPr>
      <w:rFonts w:hAnsi="宋体"/>
      <w:color w:val="000000"/>
      <w:sz w:val="24"/>
    </w:rPr>
  </w:style>
  <w:style w:type="paragraph" w:customStyle="1" w:styleId="381">
    <w:name w:val="样式6"/>
    <w:basedOn w:val="382"/>
    <w:next w:val="382"/>
    <w:qFormat/>
    <w:uiPriority w:val="0"/>
  </w:style>
  <w:style w:type="paragraph" w:customStyle="1" w:styleId="382">
    <w:name w:val="样式5"/>
    <w:basedOn w:val="268"/>
    <w:next w:val="268"/>
    <w:qFormat/>
    <w:uiPriority w:val="0"/>
    <w:pPr>
      <w:adjustRightInd w:val="0"/>
    </w:pPr>
  </w:style>
  <w:style w:type="paragraph" w:customStyle="1" w:styleId="383">
    <w:name w:val="xl24"/>
    <w:basedOn w:val="1"/>
    <w:qFormat/>
    <w:uiPriority w:val="0"/>
    <w:pPr>
      <w:widowControl/>
      <w:spacing w:before="100" w:beforeLines="0" w:beforeAutospacing="1" w:after="100" w:afterAutospacing="1"/>
      <w:ind w:firstLine="480"/>
      <w:jc w:val="both"/>
      <w:textAlignment w:val="top"/>
    </w:pPr>
    <w:rPr>
      <w:rFonts w:eastAsia="仿宋"/>
      <w:kern w:val="0"/>
      <w:szCs w:val="28"/>
    </w:rPr>
  </w:style>
  <w:style w:type="paragraph" w:customStyle="1" w:styleId="384">
    <w:name w:val="XYF1"/>
    <w:basedOn w:val="1"/>
    <w:qFormat/>
    <w:uiPriority w:val="0"/>
    <w:pPr>
      <w:tabs>
        <w:tab w:val="left" w:pos="1080"/>
      </w:tabs>
      <w:spacing w:before="0" w:beforeLines="0" w:line="440" w:lineRule="exact"/>
      <w:ind w:firstLine="195" w:firstLineChars="195"/>
      <w:jc w:val="both"/>
    </w:pPr>
    <w:rPr>
      <w:rFonts w:eastAsia="仿宋"/>
      <w:kern w:val="0"/>
      <w:szCs w:val="28"/>
    </w:rPr>
  </w:style>
  <w:style w:type="paragraph" w:customStyle="1" w:styleId="385">
    <w:name w:val="样式 样式 左侧:  2 字符 + 首行缩进:  2 字符 Char"/>
    <w:basedOn w:val="1"/>
    <w:qFormat/>
    <w:uiPriority w:val="0"/>
    <w:pPr>
      <w:tabs>
        <w:tab w:val="left" w:pos="540"/>
      </w:tabs>
      <w:spacing w:before="0" w:beforeLines="0"/>
      <w:ind w:firstLine="478" w:firstLineChars="199"/>
      <w:jc w:val="both"/>
    </w:pPr>
    <w:rPr>
      <w:rFonts w:ascii="宋体" w:hAnsi="宋体" w:eastAsia="仿宋"/>
      <w:bCs/>
      <w:kern w:val="0"/>
      <w:szCs w:val="28"/>
    </w:rPr>
  </w:style>
  <w:style w:type="paragraph" w:customStyle="1" w:styleId="386">
    <w:name w:val="正文文字 3"/>
    <w:basedOn w:val="1"/>
    <w:qFormat/>
    <w:uiPriority w:val="0"/>
    <w:pPr>
      <w:spacing w:before="0" w:beforeLines="0"/>
      <w:ind w:firstLine="480"/>
      <w:jc w:val="center"/>
    </w:pPr>
    <w:rPr>
      <w:rFonts w:eastAsia="仿宋"/>
      <w:kern w:val="0"/>
      <w:sz w:val="28"/>
      <w:szCs w:val="21"/>
    </w:rPr>
  </w:style>
  <w:style w:type="paragraph" w:customStyle="1" w:styleId="387">
    <w:name w:val="样式"/>
    <w:qFormat/>
    <w:uiPriority w:val="0"/>
    <w:pPr>
      <w:keepNext/>
      <w:keepLines/>
      <w:widowControl w:val="0"/>
      <w:adjustRightInd w:val="0"/>
      <w:spacing w:before="340" w:after="330" w:line="578" w:lineRule="atLeast"/>
      <w:jc w:val="both"/>
      <w:textAlignment w:val="baseline"/>
    </w:pPr>
    <w:rPr>
      <w:rFonts w:ascii="Times New Roman" w:hAnsi="Times New Roman" w:eastAsia="宋体" w:cs="Times New Roman"/>
      <w:b/>
      <w:kern w:val="0"/>
      <w:sz w:val="24"/>
      <w:szCs w:val="20"/>
      <w:lang w:val="en-US" w:eastAsia="zh-CN" w:bidi="ar-SA"/>
    </w:rPr>
  </w:style>
  <w:style w:type="paragraph" w:customStyle="1" w:styleId="388">
    <w:name w:val="Char Char Char Char Char Char1 Char Char Char Char Char Char Char Char Char Char Char Char Char Char Char Char Char Char1 Char Char Char Char Char Char Char Char Char Char Char Char Char"/>
    <w:basedOn w:val="1"/>
    <w:qFormat/>
    <w:uiPriority w:val="0"/>
    <w:pPr>
      <w:spacing w:before="0" w:beforeLines="0"/>
      <w:ind w:firstLine="944"/>
      <w:jc w:val="both"/>
    </w:pPr>
    <w:rPr>
      <w:rFonts w:ascii="宋体" w:eastAsia="仿宋"/>
      <w:kern w:val="0"/>
      <w:sz w:val="28"/>
      <w:szCs w:val="20"/>
    </w:rPr>
  </w:style>
  <w:style w:type="paragraph" w:customStyle="1" w:styleId="389">
    <w:name w:val="样式110"/>
    <w:basedOn w:val="268"/>
    <w:qFormat/>
    <w:uiPriority w:val="0"/>
    <w:pPr>
      <w:adjustRightInd w:val="0"/>
    </w:pPr>
  </w:style>
  <w:style w:type="paragraph" w:customStyle="1" w:styleId="390">
    <w:name w:val="正文文本 21"/>
    <w:basedOn w:val="1"/>
    <w:qFormat/>
    <w:uiPriority w:val="0"/>
    <w:pPr>
      <w:autoSpaceDE w:val="0"/>
      <w:autoSpaceDN w:val="0"/>
      <w:adjustRightInd w:val="0"/>
      <w:spacing w:before="0" w:beforeLines="0" w:line="360" w:lineRule="atLeast"/>
      <w:ind w:firstLine="425"/>
      <w:jc w:val="both"/>
      <w:textAlignment w:val="baseline"/>
    </w:pPr>
    <w:rPr>
      <w:rFonts w:ascii="宋体" w:hAnsi="Tms Rmn" w:eastAsia="仿宋"/>
      <w:kern w:val="0"/>
      <w:sz w:val="28"/>
      <w:szCs w:val="20"/>
    </w:rPr>
  </w:style>
  <w:style w:type="paragraph" w:customStyle="1" w:styleId="391">
    <w:name w:val="Normal_0"/>
    <w:qFormat/>
    <w:uiPriority w:val="0"/>
    <w:pPr>
      <w:spacing w:before="120" w:after="240"/>
      <w:jc w:val="both"/>
    </w:pPr>
    <w:rPr>
      <w:rFonts w:ascii="Times New Roman" w:hAnsi="Times New Roman" w:eastAsia="宋体" w:cs="Times New Roman"/>
      <w:kern w:val="0"/>
      <w:sz w:val="22"/>
      <w:szCs w:val="22"/>
      <w:lang w:val="en-US" w:eastAsia="en-US" w:bidi="ar-SA"/>
    </w:rPr>
  </w:style>
  <w:style w:type="paragraph" w:customStyle="1" w:styleId="392">
    <w:name w:val="图标题"/>
    <w:basedOn w:val="1"/>
    <w:qFormat/>
    <w:uiPriority w:val="0"/>
    <w:pPr>
      <w:spacing w:before="0" w:beforeLines="0" w:line="300" w:lineRule="exact"/>
      <w:ind w:firstLine="480"/>
      <w:jc w:val="both"/>
    </w:pPr>
    <w:rPr>
      <w:rFonts w:ascii="仿宋_GB2312" w:eastAsia="仿宋_GB2312"/>
      <w:b/>
      <w:bCs/>
      <w:kern w:val="0"/>
      <w:szCs w:val="28"/>
    </w:rPr>
  </w:style>
  <w:style w:type="paragraph" w:customStyle="1" w:styleId="393">
    <w:name w:val="图头"/>
    <w:basedOn w:val="1"/>
    <w:qFormat/>
    <w:uiPriority w:val="0"/>
    <w:pPr>
      <w:snapToGrid w:val="0"/>
      <w:spacing w:before="93" w:after="93" w:afterLines="30" w:line="300" w:lineRule="auto"/>
      <w:ind w:left="562" w:hanging="562" w:hangingChars="200"/>
      <w:jc w:val="center"/>
    </w:pPr>
    <w:rPr>
      <w:rFonts w:eastAsia="仿宋_GB2312"/>
      <w:b/>
      <w:kern w:val="0"/>
      <w:sz w:val="28"/>
      <w:szCs w:val="28"/>
    </w:rPr>
  </w:style>
  <w:style w:type="paragraph" w:customStyle="1" w:styleId="394">
    <w:name w:val="Date1"/>
    <w:basedOn w:val="1"/>
    <w:next w:val="1"/>
    <w:qFormat/>
    <w:uiPriority w:val="0"/>
    <w:pPr>
      <w:adjustRightInd w:val="0"/>
      <w:spacing w:before="0" w:beforeLines="0"/>
      <w:ind w:firstLine="480"/>
      <w:jc w:val="both"/>
      <w:textAlignment w:val="baseline"/>
    </w:pPr>
    <w:rPr>
      <w:rFonts w:eastAsia="仿宋"/>
      <w:kern w:val="0"/>
      <w:sz w:val="28"/>
      <w:szCs w:val="20"/>
    </w:rPr>
  </w:style>
  <w:style w:type="paragraph" w:customStyle="1" w:styleId="395">
    <w:name w:val="样式 标题 1 + 两端对齐"/>
    <w:basedOn w:val="3"/>
    <w:qFormat/>
    <w:uiPriority w:val="0"/>
    <w:pPr>
      <w:keepNext w:val="0"/>
      <w:keepLines w:val="0"/>
      <w:pageBreakBefore/>
      <w:widowControl/>
      <w:tabs>
        <w:tab w:val="left" w:pos="420"/>
      </w:tabs>
      <w:adjustRightInd w:val="0"/>
      <w:snapToGrid w:val="0"/>
      <w:spacing w:before="0" w:line="300" w:lineRule="auto"/>
      <w:ind w:left="0" w:firstLine="0" w:firstLineChars="0"/>
      <w:jc w:val="center"/>
    </w:pPr>
    <w:rPr>
      <w:rFonts w:ascii="仿宋_GB2312" w:eastAsia="仿宋_GB2312" w:cs="宋体"/>
      <w:b w:val="0"/>
      <w:snapToGrid w:val="0"/>
      <w:kern w:val="0"/>
      <w:szCs w:val="32"/>
    </w:rPr>
  </w:style>
  <w:style w:type="paragraph" w:customStyle="1" w:styleId="396">
    <w:name w:val="表格内文字"/>
    <w:basedOn w:val="1"/>
    <w:qFormat/>
    <w:uiPriority w:val="0"/>
    <w:pPr>
      <w:spacing w:before="100" w:beforeLines="0" w:after="100" w:line="320" w:lineRule="exact"/>
      <w:ind w:firstLine="480"/>
      <w:jc w:val="center"/>
    </w:pPr>
    <w:rPr>
      <w:rFonts w:eastAsia="仿宋"/>
      <w:spacing w:val="10"/>
      <w:kern w:val="0"/>
      <w:szCs w:val="20"/>
    </w:rPr>
  </w:style>
  <w:style w:type="paragraph" w:customStyle="1" w:styleId="397">
    <w:name w:val="项目编号"/>
    <w:basedOn w:val="1"/>
    <w:next w:val="1"/>
    <w:qFormat/>
    <w:uiPriority w:val="0"/>
    <w:pPr>
      <w:spacing w:before="120" w:beforeLines="0" w:after="120"/>
      <w:ind w:firstLine="480"/>
      <w:jc w:val="both"/>
    </w:pPr>
    <w:rPr>
      <w:rFonts w:eastAsia="仿宋"/>
      <w:kern w:val="0"/>
      <w:szCs w:val="20"/>
    </w:rPr>
  </w:style>
  <w:style w:type="paragraph" w:customStyle="1" w:styleId="398">
    <w:name w:val="文本"/>
    <w:basedOn w:val="1"/>
    <w:qFormat/>
    <w:uiPriority w:val="0"/>
    <w:pPr>
      <w:tabs>
        <w:tab w:val="right" w:leader="dot" w:pos="8296"/>
      </w:tabs>
      <w:adjustRightInd w:val="0"/>
      <w:snapToGrid w:val="0"/>
      <w:spacing w:before="20" w:beforeLines="20"/>
      <w:ind w:firstLine="480"/>
      <w:jc w:val="center"/>
    </w:pPr>
    <w:rPr>
      <w:rFonts w:ascii="宋体" w:hAnsi="宋体" w:eastAsia="仿宋"/>
      <w:snapToGrid w:val="0"/>
      <w:kern w:val="21"/>
      <w:sz w:val="28"/>
      <w:szCs w:val="28"/>
    </w:rPr>
  </w:style>
  <w:style w:type="paragraph" w:customStyle="1" w:styleId="399">
    <w:name w:val="xl25"/>
    <w:basedOn w:val="1"/>
    <w:qFormat/>
    <w:uiPriority w:val="0"/>
    <w:pPr>
      <w:widowControl/>
      <w:pBdr>
        <w:bottom w:val="single" w:color="auto" w:sz="4" w:space="0"/>
        <w:right w:val="single" w:color="auto" w:sz="4" w:space="0"/>
      </w:pBdr>
      <w:spacing w:before="100" w:beforeLines="0" w:beforeAutospacing="1" w:after="100" w:afterAutospacing="1"/>
      <w:ind w:firstLine="480"/>
      <w:jc w:val="center"/>
    </w:pPr>
    <w:rPr>
      <w:rFonts w:ascii="宋体" w:hAnsi="宋体" w:eastAsia="仿宋"/>
      <w:kern w:val="0"/>
      <w:sz w:val="28"/>
      <w:szCs w:val="21"/>
    </w:rPr>
  </w:style>
  <w:style w:type="paragraph" w:customStyle="1" w:styleId="400">
    <w:name w:val="样式 标题 4 + (西文) Times New Roman (中文) 宋体 小四"/>
    <w:basedOn w:val="6"/>
    <w:qFormat/>
    <w:uiPriority w:val="0"/>
    <w:pPr>
      <w:numPr>
        <w:ilvl w:val="3"/>
        <w:numId w:val="3"/>
      </w:numPr>
      <w:tabs>
        <w:tab w:val="left" w:pos="864"/>
        <w:tab w:val="left" w:pos="1247"/>
      </w:tabs>
      <w:snapToGrid w:val="0"/>
      <w:spacing w:before="78" w:beforeLines="25" w:after="78" w:afterLines="25"/>
      <w:ind w:firstLine="0" w:firstLineChars="0"/>
    </w:pPr>
    <w:rPr>
      <w:rFonts w:ascii="幼圆" w:eastAsia="幼圆"/>
      <w:bCs/>
      <w:color w:val="0000FF"/>
    </w:rPr>
  </w:style>
  <w:style w:type="paragraph" w:customStyle="1" w:styleId="401">
    <w:name w:val="reader-word-layer reader-word-s1-4"/>
    <w:basedOn w:val="1"/>
    <w:qFormat/>
    <w:uiPriority w:val="0"/>
    <w:pPr>
      <w:widowControl/>
      <w:spacing w:before="100" w:beforeLines="0" w:beforeAutospacing="1" w:after="100" w:afterAutospacing="1"/>
      <w:ind w:firstLine="480"/>
    </w:pPr>
    <w:rPr>
      <w:rFonts w:ascii="宋体" w:hAnsi="宋体" w:eastAsia="仿宋" w:cs="宋体"/>
      <w:kern w:val="0"/>
      <w:szCs w:val="28"/>
    </w:rPr>
  </w:style>
  <w:style w:type="paragraph" w:customStyle="1" w:styleId="402">
    <w:name w:val="表字"/>
    <w:basedOn w:val="1"/>
    <w:qFormat/>
    <w:uiPriority w:val="0"/>
    <w:pPr>
      <w:spacing w:before="0" w:beforeLines="0"/>
      <w:ind w:firstLine="480"/>
      <w:jc w:val="center"/>
    </w:pPr>
    <w:rPr>
      <w:rFonts w:ascii="宋体" w:eastAsia="仿宋"/>
      <w:kern w:val="0"/>
      <w:sz w:val="28"/>
      <w:szCs w:val="20"/>
    </w:rPr>
  </w:style>
  <w:style w:type="paragraph" w:customStyle="1" w:styleId="403">
    <w:name w:val="Char Char Char Char1"/>
    <w:basedOn w:val="1"/>
    <w:qFormat/>
    <w:uiPriority w:val="0"/>
    <w:pPr>
      <w:spacing w:before="0" w:beforeLines="0"/>
      <w:ind w:firstLine="480"/>
      <w:jc w:val="both"/>
    </w:pPr>
    <w:rPr>
      <w:rFonts w:eastAsia="仿宋"/>
      <w:kern w:val="0"/>
      <w:sz w:val="28"/>
      <w:szCs w:val="28"/>
    </w:rPr>
  </w:style>
  <w:style w:type="paragraph" w:customStyle="1" w:styleId="404">
    <w:name w:val="表题格式"/>
    <w:basedOn w:val="1"/>
    <w:qFormat/>
    <w:uiPriority w:val="0"/>
    <w:pPr>
      <w:overflowPunct w:val="0"/>
      <w:adjustRightInd w:val="0"/>
      <w:snapToGrid w:val="0"/>
      <w:spacing w:before="0" w:beforeLines="0"/>
      <w:ind w:firstLine="480"/>
      <w:jc w:val="center"/>
      <w:textAlignment w:val="center"/>
    </w:pPr>
    <w:rPr>
      <w:rFonts w:ascii="仿宋_GB2312" w:eastAsia="仿宋_GB2312"/>
      <w:b/>
      <w:snapToGrid w:val="0"/>
      <w:kern w:val="0"/>
      <w:sz w:val="30"/>
      <w:szCs w:val="20"/>
    </w:rPr>
  </w:style>
  <w:style w:type="paragraph" w:customStyle="1" w:styleId="405">
    <w:name w:val="5 Char"/>
    <w:basedOn w:val="1"/>
    <w:qFormat/>
    <w:uiPriority w:val="0"/>
    <w:pPr>
      <w:spacing w:before="0" w:beforeLines="0"/>
      <w:ind w:firstLine="480"/>
      <w:jc w:val="both"/>
    </w:pPr>
    <w:rPr>
      <w:rFonts w:eastAsia="仿宋"/>
      <w:kern w:val="0"/>
      <w:szCs w:val="28"/>
    </w:rPr>
  </w:style>
  <w:style w:type="paragraph" w:customStyle="1" w:styleId="406">
    <w:name w:val="main"/>
    <w:basedOn w:val="1"/>
    <w:qFormat/>
    <w:uiPriority w:val="0"/>
    <w:pPr>
      <w:widowControl/>
      <w:spacing w:before="100" w:beforeLines="0" w:beforeAutospacing="1" w:after="100" w:afterAutospacing="1"/>
      <w:ind w:firstLine="480"/>
    </w:pPr>
    <w:rPr>
      <w:rFonts w:ascii="宋体" w:hAnsi="宋体" w:eastAsia="仿宋" w:cs="宋体"/>
      <w:color w:val="000000"/>
      <w:kern w:val="0"/>
      <w:szCs w:val="28"/>
    </w:rPr>
  </w:style>
  <w:style w:type="paragraph" w:customStyle="1" w:styleId="407">
    <w:name w:val="样式15"/>
    <w:basedOn w:val="1"/>
    <w:qFormat/>
    <w:uiPriority w:val="0"/>
    <w:pPr>
      <w:shd w:val="clear" w:color="auto" w:fill="FFFFFF"/>
      <w:adjustRightInd w:val="0"/>
      <w:spacing w:before="0" w:beforeLines="0"/>
      <w:ind w:firstLine="480"/>
      <w:jc w:val="center"/>
      <w:textAlignment w:val="baseline"/>
    </w:pPr>
    <w:rPr>
      <w:rFonts w:ascii="仿宋_GB2312" w:hAnsi="宋体" w:eastAsia="仿宋_GB2312"/>
      <w:kern w:val="0"/>
      <w:szCs w:val="28"/>
    </w:rPr>
  </w:style>
  <w:style w:type="paragraph" w:customStyle="1" w:styleId="408">
    <w:name w:val="样式-1-"/>
    <w:basedOn w:val="32"/>
    <w:qFormat/>
    <w:uiPriority w:val="0"/>
    <w:pPr>
      <w:framePr w:wrap="around" w:vAnchor="text" w:hAnchor="margin" w:xAlign="center" w:y="1"/>
      <w:spacing w:before="0" w:beforeLines="0"/>
      <w:ind w:firstLine="480"/>
    </w:pPr>
    <w:rPr>
      <w:rFonts w:ascii="仿宋_GB2312" w:hAnsi="Courier New" w:eastAsia="仿宋"/>
      <w:sz w:val="24"/>
      <w:szCs w:val="20"/>
    </w:rPr>
  </w:style>
  <w:style w:type="paragraph" w:customStyle="1" w:styleId="409">
    <w:name w:val="Body Text 21"/>
    <w:basedOn w:val="1"/>
    <w:qFormat/>
    <w:uiPriority w:val="0"/>
    <w:pPr>
      <w:spacing w:before="0" w:beforeLines="0"/>
      <w:ind w:firstLine="480"/>
      <w:jc w:val="both"/>
      <w:textAlignment w:val="baseline"/>
    </w:pPr>
    <w:rPr>
      <w:rFonts w:eastAsia="仿宋"/>
      <w:color w:val="000000"/>
      <w:kern w:val="0"/>
      <w:szCs w:val="20"/>
    </w:rPr>
  </w:style>
  <w:style w:type="paragraph" w:customStyle="1" w:styleId="410">
    <w:name w:val="默认段落字体 Para Char"/>
    <w:basedOn w:val="1"/>
    <w:qFormat/>
    <w:uiPriority w:val="0"/>
    <w:pPr>
      <w:spacing w:before="0" w:beforeLines="0"/>
      <w:ind w:firstLine="200"/>
      <w:jc w:val="both"/>
    </w:pPr>
    <w:rPr>
      <w:rFonts w:ascii="宋体" w:hAnsi="宋体" w:eastAsia="仿宋" w:cs="宋体"/>
      <w:kern w:val="0"/>
      <w:szCs w:val="28"/>
    </w:rPr>
  </w:style>
  <w:style w:type="paragraph" w:customStyle="1" w:styleId="411">
    <w:name w:val="正文21"/>
    <w:basedOn w:val="1"/>
    <w:qFormat/>
    <w:uiPriority w:val="0"/>
    <w:pPr>
      <w:adjustRightInd w:val="0"/>
      <w:snapToGrid w:val="0"/>
      <w:spacing w:before="0" w:beforeLines="0" w:line="440" w:lineRule="atLeast"/>
      <w:ind w:firstLine="567"/>
      <w:jc w:val="both"/>
    </w:pPr>
    <w:rPr>
      <w:rFonts w:eastAsia="仿宋"/>
      <w:kern w:val="0"/>
      <w:szCs w:val="20"/>
    </w:rPr>
  </w:style>
  <w:style w:type="paragraph" w:customStyle="1" w:styleId="412">
    <w:name w:val="正文居中"/>
    <w:basedOn w:val="35"/>
    <w:qFormat/>
    <w:uiPriority w:val="0"/>
    <w:pPr>
      <w:tabs>
        <w:tab w:val="right" w:leader="dot" w:pos="9060"/>
      </w:tabs>
      <w:adjustRightInd w:val="0"/>
      <w:spacing w:before="0" w:beforeLines="0"/>
      <w:ind w:firstLine="480"/>
      <w:jc w:val="center"/>
    </w:pPr>
    <w:rPr>
      <w:rFonts w:ascii="宋体" w:hAnsi="Arial" w:eastAsia="仿宋_GB2312"/>
      <w:b/>
      <w:kern w:val="0"/>
      <w:sz w:val="28"/>
      <w:szCs w:val="28"/>
    </w:rPr>
  </w:style>
  <w:style w:type="paragraph" w:customStyle="1" w:styleId="413">
    <w:name w:val="Char Char Char Char Char Char Char Char Char1 Char Char Char Char Char Char Char Char1 Char Char Char"/>
    <w:basedOn w:val="1"/>
    <w:qFormat/>
    <w:uiPriority w:val="0"/>
    <w:pPr>
      <w:snapToGrid w:val="0"/>
      <w:spacing w:before="0" w:beforeLines="0"/>
      <w:ind w:firstLine="200"/>
      <w:jc w:val="both"/>
    </w:pPr>
    <w:rPr>
      <w:rFonts w:eastAsia="仿宋_GB2312"/>
      <w:kern w:val="0"/>
      <w:szCs w:val="28"/>
    </w:rPr>
  </w:style>
  <w:style w:type="table" w:customStyle="1" w:styleId="414">
    <w:name w:val="网格型1"/>
    <w:basedOn w:val="54"/>
    <w:qFormat/>
    <w:uiPriority w:val="59"/>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5">
    <w:name w:val="表格主题1"/>
    <w:basedOn w:val="54"/>
    <w:unhideWhenUsed/>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6">
    <w:name w:val="表格样式1"/>
    <w:basedOn w:val="54"/>
    <w:qFormat/>
    <w:uiPriority w:val="0"/>
    <w:rPr>
      <w:rFonts w:ascii="Times New Roman" w:hAnsi="Times New Roman" w:eastAsia="楷体_GB2312" w:cs="Times New Roman"/>
      <w:kern w:val="0"/>
      <w:sz w:val="20"/>
      <w:szCs w:val="20"/>
    </w:rPr>
    <w:tblPr>
      <w:tblBorders>
        <w:top w:val="single" w:color="auto" w:sz="12" w:space="0"/>
        <w:bottom w:val="single" w:color="auto" w:sz="12" w:space="0"/>
        <w:insideH w:val="single" w:color="auto" w:sz="2" w:space="0"/>
        <w:insideV w:val="single" w:color="auto" w:sz="2" w:space="0"/>
      </w:tblBorders>
    </w:tblPr>
  </w:style>
  <w:style w:type="table" w:customStyle="1" w:styleId="417">
    <w:name w:val="网格型11"/>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8">
    <w:name w:val="网格型表格1"/>
    <w:basedOn w:val="54"/>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9">
    <w:name w:val="环评表格"/>
    <w:basedOn w:val="56"/>
    <w:qFormat/>
    <w:uiPriority w:val="0"/>
    <w:pPr>
      <w:jc w:val="center"/>
    </w:pPr>
    <w:tblPr>
      <w:tblBorders>
        <w:top w:val="single" w:color="auto" w:sz="12" w:space="0"/>
        <w:bottom w:val="single" w:color="auto" w:sz="12" w:space="0"/>
      </w:tblBorders>
    </w:tblPr>
  </w:style>
  <w:style w:type="table" w:customStyle="1" w:styleId="420">
    <w:name w:val="省院"/>
    <w:basedOn w:val="55"/>
    <w:qFormat/>
    <w:uiPriority w:val="0"/>
    <w:pPr>
      <w:widowControl w:val="0"/>
      <w:adjustRightInd w:val="0"/>
      <w:snapToGrid w:val="0"/>
      <w:jc w:val="center"/>
    </w:pPr>
    <w:rPr>
      <w:rFonts w:ascii="Times New Roman" w:hAnsi="Times New Roman" w:eastAsia="仿宋_GB2312" w:cs="Times New Roman"/>
      <w:kern w:val="0"/>
      <w:szCs w:val="20"/>
    </w:rPr>
    <w:tblPr>
      <w:tblBorders>
        <w:top w:val="single" w:color="auto" w:sz="12" w:space="0"/>
        <w:bottom w:val="single" w:color="auto" w:sz="12" w:space="0"/>
      </w:tblBorders>
    </w:tblPr>
  </w:style>
  <w:style w:type="table" w:customStyle="1" w:styleId="421">
    <w:name w:val="省院格式"/>
    <w:basedOn w:val="54"/>
    <w:qFormat/>
    <w:uiPriority w:val="0"/>
    <w:pPr>
      <w:jc w:val="center"/>
    </w:pPr>
    <w:rPr>
      <w:rFonts w:ascii="仿宋_GB2312" w:hAnsi="仿宋_GB2312" w:eastAsia="仿宋_GB2312" w:cs="仿宋_GB2312"/>
      <w:kern w:val="0"/>
      <w:szCs w:val="21"/>
    </w:rPr>
    <w:tblPr>
      <w:tblBorders>
        <w:top w:val="single" w:color="auto" w:sz="12" w:space="0"/>
        <w:bottom w:val="single" w:color="auto" w:sz="12" w:space="0"/>
        <w:insideH w:val="single" w:color="auto" w:sz="4" w:space="0"/>
        <w:insideV w:val="single" w:color="auto" w:sz="4" w:space="0"/>
      </w:tblBorders>
    </w:tblPr>
  </w:style>
  <w:style w:type="table" w:customStyle="1" w:styleId="422">
    <w:name w:val="三线表"/>
    <w:basedOn w:val="55"/>
    <w:qFormat/>
    <w:uiPriority w:val="0"/>
    <w:pPr>
      <w:widowControl w:val="0"/>
      <w:adjustRightInd w:val="0"/>
      <w:snapToGrid w:val="0"/>
      <w:spacing w:line="312" w:lineRule="auto"/>
      <w:jc w:val="center"/>
    </w:pPr>
    <w:rPr>
      <w:rFonts w:ascii="Times New Roman" w:hAnsi="Times New Roman" w:eastAsia="宋体" w:cs="Times New Roman"/>
      <w:kern w:val="0"/>
      <w:szCs w:val="20"/>
    </w:rPr>
    <w:tblPr>
      <w:tblBorders>
        <w:top w:val="single" w:color="auto" w:sz="12" w:space="0"/>
        <w:bottom w:val="single" w:color="auto" w:sz="12" w:space="0"/>
      </w:tblBorders>
    </w:tblPr>
  </w:style>
  <w:style w:type="table" w:customStyle="1" w:styleId="423">
    <w:name w:val="表格样式11"/>
    <w:basedOn w:val="421"/>
    <w:qFormat/>
    <w:uiPriority w:val="0"/>
    <w:tblPr>
      <w:tblBorders>
        <w:top w:val="single" w:color="auto" w:sz="4" w:space="0"/>
        <w:left w:val="single" w:color="auto" w:sz="4" w:space="0"/>
        <w:bottom w:val="single" w:color="auto" w:sz="4" w:space="0"/>
        <w:right w:val="single" w:color="auto" w:sz="4" w:space="0"/>
      </w:tblBorders>
    </w:tblPr>
  </w:style>
  <w:style w:type="table" w:customStyle="1" w:styleId="424">
    <w:name w:val="正文+宋体1"/>
    <w:basedOn w:val="54"/>
    <w:qFormat/>
    <w:uiPriority w:val="0"/>
    <w:pPr>
      <w:widowControl w:val="0"/>
      <w:adjustRightInd w:val="0"/>
      <w:spacing w:line="312" w:lineRule="atLeas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5">
    <w:name w:val="网格型4"/>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6">
    <w:name w:val="网格型21"/>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7">
    <w:name w:val="规定"/>
    <w:basedOn w:val="54"/>
    <w:qFormat/>
    <w:uiPriority w:val="0"/>
    <w:pPr>
      <w:jc w:val="center"/>
    </w:pPr>
    <w:rPr>
      <w:rFonts w:ascii="Times New Roman" w:hAnsi="Times New Roman" w:eastAsia="仿宋_GB2312" w:cs="Times New Roman"/>
      <w:kern w:val="0"/>
      <w:szCs w:val="20"/>
    </w:rPr>
    <w:tblPr>
      <w:tblBorders>
        <w:top w:val="single" w:color="auto" w:sz="12" w:space="0"/>
        <w:bottom w:val="single" w:color="auto" w:sz="12" w:space="0"/>
        <w:insideH w:val="single" w:color="auto" w:sz="4" w:space="0"/>
        <w:insideV w:val="single" w:color="auto" w:sz="4" w:space="0"/>
      </w:tblBorders>
    </w:tblPr>
  </w:style>
  <w:style w:type="table" w:customStyle="1" w:styleId="428">
    <w:name w:val="网格型3"/>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9">
    <w:name w:val="网格型2"/>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30">
    <w:name w:val="1"/>
    <w:basedOn w:val="1"/>
    <w:next w:val="79"/>
    <w:link w:val="432"/>
    <w:qFormat/>
    <w:uiPriority w:val="0"/>
    <w:pPr>
      <w:spacing w:before="0" w:beforeLines="0"/>
      <w:ind w:firstLine="420"/>
      <w:jc w:val="both"/>
    </w:pPr>
  </w:style>
  <w:style w:type="character" w:customStyle="1" w:styleId="431">
    <w:name w:val="正文文本首行缩进 2 字符"/>
    <w:qFormat/>
    <w:uiPriority w:val="0"/>
    <w:rPr>
      <w:rFonts w:ascii="宋体" w:hAnsi="宋体" w:eastAsia="宋体" w:cs="宋体"/>
      <w:kern w:val="2"/>
      <w:sz w:val="21"/>
      <w:szCs w:val="24"/>
      <w:lang w:val="en-US" w:eastAsia="zh-CN" w:bidi="ar-SA"/>
    </w:rPr>
  </w:style>
  <w:style w:type="character" w:customStyle="1" w:styleId="432">
    <w:name w:val="正文文本首行缩进 字符"/>
    <w:link w:val="430"/>
    <w:qFormat/>
    <w:uiPriority w:val="0"/>
    <w:rPr>
      <w:rFonts w:ascii="Times New Roman" w:hAnsi="Times New Roman" w:eastAsia="宋体" w:cs="Times New Roman"/>
      <w:sz w:val="24"/>
      <w:szCs w:val="24"/>
    </w:rPr>
  </w:style>
  <w:style w:type="table" w:customStyle="1" w:styleId="433">
    <w:name w:val="网格型5"/>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4">
    <w:name w:val="表格主题2"/>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5">
    <w:name w:val="网格型 11"/>
    <w:basedOn w:val="54"/>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436">
    <w:name w:val="网格型12"/>
    <w:basedOn w:val="54"/>
    <w:qFormat/>
    <w:uiPriority w:val="59"/>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7">
    <w:name w:val="表格主题11"/>
    <w:basedOn w:val="54"/>
    <w:unhideWhenUsed/>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8">
    <w:name w:val="表格样式12"/>
    <w:basedOn w:val="54"/>
    <w:qFormat/>
    <w:uiPriority w:val="0"/>
    <w:rPr>
      <w:rFonts w:ascii="Times New Roman" w:hAnsi="Times New Roman" w:eastAsia="楷体_GB2312" w:cs="Times New Roman"/>
      <w:kern w:val="0"/>
      <w:sz w:val="20"/>
      <w:szCs w:val="20"/>
    </w:rPr>
    <w:tblPr>
      <w:tblBorders>
        <w:top w:val="single" w:color="auto" w:sz="12" w:space="0"/>
        <w:bottom w:val="single" w:color="auto" w:sz="12" w:space="0"/>
        <w:insideH w:val="single" w:color="auto" w:sz="2" w:space="0"/>
        <w:insideV w:val="single" w:color="auto" w:sz="2" w:space="0"/>
      </w:tblBorders>
    </w:tblPr>
  </w:style>
  <w:style w:type="table" w:customStyle="1" w:styleId="439">
    <w:name w:val="网格型111"/>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0">
    <w:name w:val="网格型表格11"/>
    <w:basedOn w:val="54"/>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1">
    <w:name w:val="环评表格1"/>
    <w:basedOn w:val="56"/>
    <w:qFormat/>
    <w:uiPriority w:val="0"/>
    <w:pPr>
      <w:jc w:val="center"/>
    </w:pPr>
    <w:tblPr>
      <w:tblBorders>
        <w:top w:val="single" w:color="auto" w:sz="12" w:space="0"/>
        <w:bottom w:val="single" w:color="auto" w:sz="12" w:space="0"/>
      </w:tblBorders>
    </w:tblPr>
  </w:style>
  <w:style w:type="table" w:customStyle="1" w:styleId="442">
    <w:name w:val="省院1"/>
    <w:basedOn w:val="55"/>
    <w:qFormat/>
    <w:uiPriority w:val="0"/>
    <w:pPr>
      <w:widowControl w:val="0"/>
      <w:adjustRightInd w:val="0"/>
      <w:snapToGrid w:val="0"/>
      <w:jc w:val="center"/>
    </w:pPr>
    <w:rPr>
      <w:rFonts w:ascii="Times New Roman" w:hAnsi="Times New Roman" w:eastAsia="仿宋_GB2312" w:cs="Times New Roman"/>
      <w:kern w:val="0"/>
      <w:szCs w:val="20"/>
    </w:rPr>
    <w:tblPr>
      <w:tblBorders>
        <w:top w:val="single" w:color="auto" w:sz="12" w:space="0"/>
        <w:bottom w:val="single" w:color="auto" w:sz="12" w:space="0"/>
      </w:tblBorders>
    </w:tblPr>
  </w:style>
  <w:style w:type="table" w:customStyle="1" w:styleId="443">
    <w:name w:val="省院格式1"/>
    <w:basedOn w:val="54"/>
    <w:qFormat/>
    <w:uiPriority w:val="0"/>
    <w:pPr>
      <w:jc w:val="center"/>
    </w:pPr>
    <w:rPr>
      <w:rFonts w:ascii="仿宋_GB2312" w:hAnsi="仿宋_GB2312" w:eastAsia="仿宋_GB2312" w:cs="仿宋_GB2312"/>
      <w:kern w:val="0"/>
      <w:szCs w:val="21"/>
    </w:rPr>
    <w:tblPr>
      <w:tblBorders>
        <w:top w:val="single" w:color="auto" w:sz="12" w:space="0"/>
        <w:bottom w:val="single" w:color="auto" w:sz="12" w:space="0"/>
        <w:insideH w:val="single" w:color="auto" w:sz="4" w:space="0"/>
        <w:insideV w:val="single" w:color="auto" w:sz="4" w:space="0"/>
      </w:tblBorders>
    </w:tblPr>
  </w:style>
  <w:style w:type="table" w:customStyle="1" w:styleId="444">
    <w:name w:val="三线表1"/>
    <w:basedOn w:val="55"/>
    <w:qFormat/>
    <w:uiPriority w:val="0"/>
    <w:pPr>
      <w:widowControl w:val="0"/>
      <w:adjustRightInd w:val="0"/>
      <w:snapToGrid w:val="0"/>
      <w:spacing w:line="312" w:lineRule="auto"/>
      <w:jc w:val="center"/>
    </w:pPr>
    <w:rPr>
      <w:rFonts w:ascii="Times New Roman" w:hAnsi="Times New Roman" w:eastAsia="宋体" w:cs="Times New Roman"/>
      <w:kern w:val="0"/>
      <w:szCs w:val="20"/>
    </w:rPr>
    <w:tblPr>
      <w:tblBorders>
        <w:top w:val="single" w:color="auto" w:sz="12" w:space="0"/>
        <w:bottom w:val="single" w:color="auto" w:sz="12" w:space="0"/>
      </w:tblBorders>
    </w:tblPr>
  </w:style>
  <w:style w:type="table" w:customStyle="1" w:styleId="445">
    <w:name w:val="表格样式111"/>
    <w:basedOn w:val="421"/>
    <w:qFormat/>
    <w:uiPriority w:val="0"/>
    <w:tblPr>
      <w:tblBorders>
        <w:top w:val="single" w:color="auto" w:sz="4" w:space="0"/>
        <w:left w:val="single" w:color="auto" w:sz="4" w:space="0"/>
        <w:bottom w:val="single" w:color="auto" w:sz="4" w:space="0"/>
        <w:right w:val="single" w:color="auto" w:sz="4" w:space="0"/>
      </w:tblBorders>
    </w:tblPr>
  </w:style>
  <w:style w:type="table" w:customStyle="1" w:styleId="446">
    <w:name w:val="正文+宋体11"/>
    <w:basedOn w:val="54"/>
    <w:qFormat/>
    <w:uiPriority w:val="0"/>
    <w:pPr>
      <w:widowControl w:val="0"/>
      <w:adjustRightInd w:val="0"/>
      <w:spacing w:line="312" w:lineRule="atLeas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7">
    <w:name w:val="网格型41"/>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8">
    <w:name w:val="网格型211"/>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9">
    <w:name w:val="规定1"/>
    <w:basedOn w:val="54"/>
    <w:qFormat/>
    <w:uiPriority w:val="0"/>
    <w:pPr>
      <w:jc w:val="center"/>
    </w:pPr>
    <w:rPr>
      <w:rFonts w:ascii="Times New Roman" w:hAnsi="Times New Roman" w:eastAsia="仿宋_GB2312" w:cs="Times New Roman"/>
      <w:kern w:val="0"/>
      <w:szCs w:val="20"/>
    </w:rPr>
    <w:tblPr>
      <w:tblBorders>
        <w:top w:val="single" w:color="auto" w:sz="12" w:space="0"/>
        <w:bottom w:val="single" w:color="auto" w:sz="12" w:space="0"/>
        <w:insideH w:val="single" w:color="auto" w:sz="4" w:space="0"/>
        <w:insideV w:val="single" w:color="auto" w:sz="4" w:space="0"/>
      </w:tblBorders>
    </w:tblPr>
  </w:style>
  <w:style w:type="table" w:customStyle="1" w:styleId="450">
    <w:name w:val="网格型31"/>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1">
    <w:name w:val="网格型22"/>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2">
    <w:name w:val="网格型6"/>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3">
    <w:name w:val="网格型7"/>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4">
    <w:name w:val="表格主题3"/>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5">
    <w:name w:val="网格型 12"/>
    <w:basedOn w:val="54"/>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456">
    <w:name w:val="网格型13"/>
    <w:basedOn w:val="54"/>
    <w:qFormat/>
    <w:uiPriority w:val="59"/>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7">
    <w:name w:val="表格主题12"/>
    <w:basedOn w:val="54"/>
    <w:unhideWhenUsed/>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8">
    <w:name w:val="表格样式13"/>
    <w:basedOn w:val="54"/>
    <w:qFormat/>
    <w:uiPriority w:val="0"/>
    <w:rPr>
      <w:rFonts w:ascii="Times New Roman" w:hAnsi="Times New Roman" w:eastAsia="楷体_GB2312" w:cs="Times New Roman"/>
      <w:kern w:val="0"/>
      <w:sz w:val="20"/>
      <w:szCs w:val="20"/>
    </w:rPr>
    <w:tblPr>
      <w:tblBorders>
        <w:top w:val="single" w:color="auto" w:sz="12" w:space="0"/>
        <w:bottom w:val="single" w:color="auto" w:sz="12" w:space="0"/>
        <w:insideH w:val="single" w:color="auto" w:sz="2" w:space="0"/>
        <w:insideV w:val="single" w:color="auto" w:sz="2" w:space="0"/>
      </w:tblBorders>
    </w:tblPr>
  </w:style>
  <w:style w:type="table" w:customStyle="1" w:styleId="459">
    <w:name w:val="网格型112"/>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0">
    <w:name w:val="网格型表格12"/>
    <w:basedOn w:val="54"/>
    <w:qFormat/>
    <w:uiPriority w:val="0"/>
    <w:pPr>
      <w:widowControl w:val="0"/>
      <w:jc w:val="both"/>
    </w:pPr>
    <w:rPr>
      <w:rFonts w:ascii="Times New Roman" w:hAnsi="Times New Roman" w:eastAsia="华文新魏"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1">
    <w:name w:val="环评表格2"/>
    <w:basedOn w:val="56"/>
    <w:qFormat/>
    <w:uiPriority w:val="0"/>
    <w:pPr>
      <w:jc w:val="center"/>
    </w:pPr>
    <w:tblPr>
      <w:tblBorders>
        <w:top w:val="single" w:color="auto" w:sz="12" w:space="0"/>
        <w:bottom w:val="single" w:color="auto" w:sz="12" w:space="0"/>
      </w:tblBorders>
    </w:tblPr>
  </w:style>
  <w:style w:type="table" w:customStyle="1" w:styleId="462">
    <w:name w:val="省院2"/>
    <w:basedOn w:val="55"/>
    <w:qFormat/>
    <w:uiPriority w:val="0"/>
    <w:pPr>
      <w:widowControl w:val="0"/>
      <w:adjustRightInd w:val="0"/>
      <w:snapToGrid w:val="0"/>
      <w:jc w:val="center"/>
    </w:pPr>
    <w:rPr>
      <w:rFonts w:ascii="Times New Roman" w:hAnsi="Times New Roman" w:eastAsia="仿宋_GB2312" w:cs="Times New Roman"/>
      <w:kern w:val="0"/>
      <w:szCs w:val="20"/>
    </w:rPr>
    <w:tblPr>
      <w:tblBorders>
        <w:top w:val="single" w:color="auto" w:sz="12" w:space="0"/>
        <w:bottom w:val="single" w:color="auto" w:sz="12" w:space="0"/>
      </w:tblBorders>
    </w:tblPr>
  </w:style>
  <w:style w:type="table" w:customStyle="1" w:styleId="463">
    <w:name w:val="省院格式2"/>
    <w:basedOn w:val="54"/>
    <w:qFormat/>
    <w:uiPriority w:val="0"/>
    <w:pPr>
      <w:jc w:val="center"/>
    </w:pPr>
    <w:rPr>
      <w:rFonts w:ascii="仿宋_GB2312" w:hAnsi="仿宋_GB2312" w:eastAsia="仿宋_GB2312" w:cs="仿宋_GB2312"/>
      <w:kern w:val="0"/>
      <w:szCs w:val="21"/>
    </w:rPr>
    <w:tblPr>
      <w:tblBorders>
        <w:top w:val="single" w:color="auto" w:sz="12" w:space="0"/>
        <w:bottom w:val="single" w:color="auto" w:sz="12" w:space="0"/>
        <w:insideH w:val="single" w:color="auto" w:sz="4" w:space="0"/>
        <w:insideV w:val="single" w:color="auto" w:sz="4" w:space="0"/>
      </w:tblBorders>
    </w:tblPr>
  </w:style>
  <w:style w:type="table" w:customStyle="1" w:styleId="464">
    <w:name w:val="三线表2"/>
    <w:basedOn w:val="55"/>
    <w:qFormat/>
    <w:uiPriority w:val="0"/>
    <w:pPr>
      <w:widowControl w:val="0"/>
      <w:adjustRightInd w:val="0"/>
      <w:snapToGrid w:val="0"/>
      <w:spacing w:line="312" w:lineRule="auto"/>
      <w:jc w:val="center"/>
    </w:pPr>
    <w:rPr>
      <w:rFonts w:ascii="Times New Roman" w:hAnsi="Times New Roman" w:eastAsia="宋体" w:cs="Times New Roman"/>
      <w:kern w:val="0"/>
      <w:szCs w:val="20"/>
    </w:rPr>
    <w:tblPr>
      <w:tblBorders>
        <w:top w:val="single" w:color="auto" w:sz="12" w:space="0"/>
        <w:bottom w:val="single" w:color="auto" w:sz="12" w:space="0"/>
      </w:tblBorders>
    </w:tblPr>
  </w:style>
  <w:style w:type="table" w:customStyle="1" w:styleId="465">
    <w:name w:val="表格样式112"/>
    <w:basedOn w:val="421"/>
    <w:qFormat/>
    <w:uiPriority w:val="0"/>
    <w:tblPr>
      <w:tblBorders>
        <w:top w:val="single" w:color="auto" w:sz="4" w:space="0"/>
        <w:left w:val="single" w:color="auto" w:sz="4" w:space="0"/>
        <w:bottom w:val="single" w:color="auto" w:sz="4" w:space="0"/>
        <w:right w:val="single" w:color="auto" w:sz="4" w:space="0"/>
      </w:tblBorders>
    </w:tblPr>
  </w:style>
  <w:style w:type="table" w:customStyle="1" w:styleId="466">
    <w:name w:val="正文+宋体12"/>
    <w:basedOn w:val="54"/>
    <w:qFormat/>
    <w:uiPriority w:val="0"/>
    <w:pPr>
      <w:widowControl w:val="0"/>
      <w:adjustRightInd w:val="0"/>
      <w:spacing w:line="312" w:lineRule="atLeas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7">
    <w:name w:val="网格型42"/>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8">
    <w:name w:val="网格型212"/>
    <w:basedOn w:val="5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9">
    <w:name w:val="规定2"/>
    <w:basedOn w:val="54"/>
    <w:qFormat/>
    <w:uiPriority w:val="0"/>
    <w:pPr>
      <w:jc w:val="center"/>
    </w:pPr>
    <w:rPr>
      <w:rFonts w:ascii="Times New Roman" w:hAnsi="Times New Roman" w:eastAsia="仿宋_GB2312" w:cs="Times New Roman"/>
      <w:kern w:val="0"/>
      <w:szCs w:val="20"/>
    </w:rPr>
    <w:tblPr>
      <w:tblBorders>
        <w:top w:val="single" w:color="auto" w:sz="12" w:space="0"/>
        <w:bottom w:val="single" w:color="auto" w:sz="12" w:space="0"/>
        <w:insideH w:val="single" w:color="auto" w:sz="4" w:space="0"/>
        <w:insideV w:val="single" w:color="auto" w:sz="4" w:space="0"/>
      </w:tblBorders>
    </w:tblPr>
  </w:style>
  <w:style w:type="table" w:customStyle="1" w:styleId="470">
    <w:name w:val="网格型32"/>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1">
    <w:name w:val="网格型23"/>
    <w:basedOn w:val="54"/>
    <w:qFormat/>
    <w:uiPriority w:val="0"/>
    <w:pPr>
      <w:widowControl w:val="0"/>
      <w:spacing w:line="500" w:lineRule="exact"/>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72">
    <w:name w:val="NormalCharacter"/>
    <w:link w:val="473"/>
    <w:qFormat/>
    <w:uiPriority w:val="0"/>
    <w:rPr>
      <w:rFonts w:ascii="Verdana" w:hAnsi="Verdana"/>
      <w:lang w:eastAsia="en-US"/>
    </w:rPr>
  </w:style>
  <w:style w:type="paragraph" w:customStyle="1" w:styleId="473">
    <w:name w:val="UserStyle_6"/>
    <w:basedOn w:val="1"/>
    <w:link w:val="472"/>
    <w:qFormat/>
    <w:uiPriority w:val="0"/>
    <w:pPr>
      <w:widowControl/>
      <w:spacing w:before="0" w:beforeLines="0" w:after="160" w:line="240" w:lineRule="exact"/>
      <w:ind w:firstLine="0" w:firstLineChars="0"/>
      <w:textAlignment w:val="baseline"/>
    </w:pPr>
    <w:rPr>
      <w:rFonts w:ascii="Verdana" w:hAnsi="Verdana" w:eastAsiaTheme="minorEastAsia" w:cstheme="minorBidi"/>
      <w:sz w:val="21"/>
      <w:szCs w:val="22"/>
      <w:lang w:eastAsia="en-US"/>
    </w:rPr>
  </w:style>
  <w:style w:type="character" w:customStyle="1" w:styleId="474">
    <w:name w:val="报告书正文 Char1"/>
    <w:link w:val="112"/>
    <w:qFormat/>
    <w:uiPriority w:val="0"/>
    <w:rPr>
      <w:rFonts w:ascii="Arial" w:hAnsi="Arial" w:eastAsia="宋体" w:cs="Times New Roman"/>
      <w:kern w:val="0"/>
      <w:sz w:val="24"/>
      <w:szCs w:val="24"/>
    </w:rPr>
  </w:style>
  <w:style w:type="character" w:customStyle="1" w:styleId="475">
    <w:name w:val="正文缩进 Char1"/>
    <w:qFormat/>
    <w:uiPriority w:val="0"/>
    <w:rPr>
      <w:rFonts w:ascii="Calibri" w:hAnsi="Calibri" w:cs="黑体"/>
      <w:kern w:val="2"/>
      <w:sz w:val="21"/>
      <w:szCs w:val="21"/>
    </w:rPr>
  </w:style>
  <w:style w:type="character" w:customStyle="1" w:styleId="476">
    <w:name w:val="more"/>
    <w:basedOn w:val="58"/>
    <w:qFormat/>
    <w:uiPriority w:val="0"/>
    <w:rPr>
      <w:sz w:val="14"/>
      <w:szCs w:val="14"/>
    </w:rPr>
  </w:style>
  <w:style w:type="character" w:customStyle="1" w:styleId="477">
    <w:name w:val="on"/>
    <w:basedOn w:val="58"/>
    <w:qFormat/>
    <w:uiPriority w:val="0"/>
    <w:rPr>
      <w:color w:val="FFFFFF"/>
    </w:rPr>
  </w:style>
  <w:style w:type="character" w:customStyle="1" w:styleId="478">
    <w:name w:val="15"/>
    <w:basedOn w:val="58"/>
    <w:qFormat/>
    <w:uiPriority w:val="0"/>
    <w:rPr>
      <w:rFonts w:hint="default" w:ascii="Times New Roman" w:hAnsi="Times New Roman" w:cs="Times New Roman"/>
      <w:color w:val="0000FF"/>
      <w:u w:val="single"/>
    </w:rPr>
  </w:style>
  <w:style w:type="paragraph" w:customStyle="1" w:styleId="479">
    <w:name w:val="列表1"/>
    <w:basedOn w:val="1"/>
    <w:qFormat/>
    <w:uiPriority w:val="0"/>
    <w:pPr>
      <w:spacing w:before="0" w:beforeLines="0" w:line="360" w:lineRule="exact"/>
      <w:ind w:firstLine="0" w:firstLineChars="0"/>
      <w:jc w:val="center"/>
    </w:pPr>
    <w:rPr>
      <w:rFonts w:ascii="华文中宋" w:hAnsi="Times" w:eastAsia="华文中宋" w:cs="Times"/>
      <w:kern w:val="0"/>
    </w:rPr>
  </w:style>
  <w:style w:type="paragraph" w:customStyle="1" w:styleId="480">
    <w:name w:val="页脚1"/>
    <w:basedOn w:val="1"/>
    <w:qFormat/>
    <w:uiPriority w:val="0"/>
    <w:pPr>
      <w:snapToGrid w:val="0"/>
      <w:spacing w:before="0" w:beforeLines="0" w:line="240" w:lineRule="auto"/>
      <w:ind w:firstLine="0" w:firstLineChars="0"/>
    </w:pPr>
    <w:rPr>
      <w:rFonts w:ascii="宋体" w:hAnsi="宋体" w:cs="宋体"/>
      <w:sz w:val="18"/>
      <w:szCs w:val="18"/>
    </w:rPr>
  </w:style>
  <w:style w:type="character" w:customStyle="1" w:styleId="481">
    <w:name w:val="正文格式 Char"/>
    <w:link w:val="482"/>
    <w:qFormat/>
    <w:uiPriority w:val="0"/>
    <w:rPr>
      <w:sz w:val="24"/>
      <w:szCs w:val="24"/>
    </w:rPr>
  </w:style>
  <w:style w:type="paragraph" w:customStyle="1" w:styleId="482">
    <w:name w:val="正文格式"/>
    <w:basedOn w:val="1"/>
    <w:link w:val="481"/>
    <w:qFormat/>
    <w:uiPriority w:val="0"/>
    <w:pPr>
      <w:spacing w:before="0" w:beforeLines="0"/>
      <w:ind w:firstLine="482" w:firstLineChars="0"/>
      <w:jc w:val="both"/>
    </w:pPr>
    <w:rPr>
      <w:rFonts w:asciiTheme="minorHAnsi" w:hAnsiTheme="minorHAnsi" w:eastAsiaTheme="minorEastAsia" w:cstheme="minorBidi"/>
    </w:rPr>
  </w:style>
  <w:style w:type="paragraph" w:customStyle="1" w:styleId="483">
    <w:name w:val="表格内字体"/>
    <w:basedOn w:val="1"/>
    <w:next w:val="1"/>
    <w:qFormat/>
    <w:uiPriority w:val="0"/>
    <w:pPr>
      <w:adjustRightInd w:val="0"/>
      <w:snapToGrid w:val="0"/>
      <w:spacing w:before="100" w:beforeLines="0" w:beforeAutospacing="1" w:after="100" w:afterAutospacing="1"/>
      <w:ind w:right="42" w:firstLine="0" w:firstLineChars="0"/>
      <w:jc w:val="center"/>
    </w:pPr>
    <w:rPr>
      <w:rFonts w:ascii="宋体" w:hAnsi="宋体"/>
      <w:kern w:val="0"/>
      <w:sz w:val="20"/>
      <w:szCs w:val="20"/>
    </w:rPr>
  </w:style>
  <w:style w:type="paragraph" w:customStyle="1" w:styleId="484">
    <w:name w:val="表内小5中"/>
    <w:basedOn w:val="1"/>
    <w:qFormat/>
    <w:uiPriority w:val="0"/>
    <w:pPr>
      <w:spacing w:line="240" w:lineRule="auto"/>
    </w:pPr>
    <w:rPr>
      <w:rFonts w:ascii="宋体"/>
      <w:color w:val="000000"/>
      <w:sz w:val="18"/>
      <w:szCs w:val="18"/>
    </w:rPr>
  </w:style>
  <w:style w:type="paragraph" w:customStyle="1" w:styleId="485">
    <w:name w:val="xl36"/>
    <w:basedOn w:val="1"/>
    <w:qFormat/>
    <w:uiPriority w:val="0"/>
    <w:pPr>
      <w:widowControl/>
      <w:pBdr>
        <w:left w:val="single" w:color="auto" w:sz="4" w:space="0"/>
        <w:bottom w:val="single" w:color="auto" w:sz="4" w:space="0"/>
        <w:right w:val="single" w:color="auto" w:sz="4" w:space="0"/>
      </w:pBdr>
      <w:spacing w:before="100" w:after="100" w:line="240" w:lineRule="auto"/>
    </w:pPr>
    <w:rPr>
      <w:rFonts w:ascii="宋体" w:hAnsi="宋体"/>
      <w:color w:val="000000"/>
      <w:kern w:val="0"/>
      <w:sz w:val="20"/>
      <w:szCs w:val="20"/>
    </w:rPr>
  </w:style>
  <w:style w:type="character" w:customStyle="1" w:styleId="486">
    <w:name w:val="正文格式 Char Char"/>
    <w:qFormat/>
    <w:uiPriority w:val="0"/>
    <w:rPr>
      <w:rFonts w:ascii="宋体" w:hAnsi="宋体" w:cs="宋体"/>
      <w:kern w:val="2"/>
      <w:sz w:val="24"/>
      <w:szCs w:val="24"/>
    </w:rPr>
  </w:style>
  <w:style w:type="paragraph" w:customStyle="1" w:styleId="487">
    <w:name w:val="p16"/>
    <w:basedOn w:val="1"/>
    <w:qFormat/>
    <w:uiPriority w:val="0"/>
    <w:pPr>
      <w:widowControl/>
      <w:spacing w:before="0" w:beforeLines="0" w:line="240" w:lineRule="auto"/>
      <w:ind w:firstLine="0" w:firstLineChars="0"/>
      <w:jc w:val="both"/>
    </w:pPr>
    <w:rPr>
      <w:rFonts w:ascii="宋体" w:hAnsi="宋体" w:cs="宋体"/>
      <w:kern w:val="0"/>
    </w:rPr>
  </w:style>
  <w:style w:type="character" w:customStyle="1" w:styleId="488">
    <w:name w:val="批注文字 字符"/>
    <w:basedOn w:val="58"/>
    <w:semiHidden/>
    <w:qFormat/>
    <w:uiPriority w:val="99"/>
    <w:rPr>
      <w:rFonts w:ascii="Calibri" w:hAnsi="Calibri" w:cs="黑体"/>
      <w:kern w:val="2"/>
      <w:sz w:val="21"/>
      <w:szCs w:val="22"/>
    </w:rPr>
  </w:style>
  <w:style w:type="paragraph" w:customStyle="1" w:styleId="489">
    <w:name w:val="正文3"/>
    <w:qFormat/>
    <w:uiPriority w:val="0"/>
    <w:pPr>
      <w:spacing w:beforeLines="50" w:line="480" w:lineRule="exact"/>
      <w:jc w:val="both"/>
    </w:pPr>
    <w:rPr>
      <w:rFonts w:ascii="Calibri" w:hAnsi="Calibri" w:eastAsia="宋体" w:cs="宋体"/>
      <w:kern w:val="2"/>
      <w:sz w:val="21"/>
      <w:szCs w:val="21"/>
      <w:lang w:val="en-US" w:eastAsia="zh-CN" w:bidi="ar-SA"/>
    </w:rPr>
  </w:style>
  <w:style w:type="character" w:customStyle="1" w:styleId="490">
    <w:name w:val="样式14 Char"/>
    <w:basedOn w:val="58"/>
    <w:link w:val="255"/>
    <w:qFormat/>
    <w:uiPriority w:val="0"/>
    <w:rPr>
      <w:rFonts w:ascii="仿宋_GB2312" w:hAnsi="宋体" w:eastAsia="仿宋_GB2312"/>
      <w:bCs/>
      <w:sz w:val="24"/>
      <w:szCs w:val="20"/>
    </w:rPr>
  </w:style>
  <w:style w:type="paragraph" w:customStyle="1" w:styleId="491">
    <w:name w:val="_Style 4"/>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492">
    <w:name w:val="1-正文"/>
    <w:basedOn w:val="1"/>
    <w:link w:val="493"/>
    <w:qFormat/>
    <w:uiPriority w:val="0"/>
    <w:pPr>
      <w:widowControl/>
      <w:spacing w:before="0" w:beforeLines="0"/>
      <w:ind w:firstLine="200"/>
    </w:pPr>
    <w:rPr>
      <w:rFonts w:ascii="宋体" w:hAnsi="宋体" w:cs="宋体"/>
      <w:kern w:val="0"/>
      <w:szCs w:val="20"/>
      <w:lang w:val="zh-CN" w:eastAsia="zh-CN"/>
    </w:rPr>
  </w:style>
  <w:style w:type="character" w:customStyle="1" w:styleId="493">
    <w:name w:val="1-正文 字符"/>
    <w:link w:val="492"/>
    <w:qFormat/>
    <w:locked/>
    <w:uiPriority w:val="0"/>
    <w:rPr>
      <w:rFonts w:ascii="宋体" w:hAnsi="宋体" w:eastAsia="宋体" w:cs="宋体"/>
      <w:kern w:val="0"/>
      <w:sz w:val="24"/>
      <w:szCs w:val="20"/>
      <w:lang w:val="zh-CN" w:eastAsia="zh-CN"/>
    </w:rPr>
  </w:style>
  <w:style w:type="character" w:customStyle="1" w:styleId="494">
    <w:name w:val="报告书正文 Char"/>
    <w:qFormat/>
    <w:locked/>
    <w:uiPriority w:val="0"/>
    <w:rPr>
      <w:kern w:val="2"/>
      <w:sz w:val="24"/>
      <w:szCs w:val="24"/>
    </w:rPr>
  </w:style>
  <w:style w:type="character" w:customStyle="1" w:styleId="495">
    <w:name w:val="批注文字 Char3"/>
    <w:semiHidden/>
    <w:qFormat/>
    <w:locked/>
    <w:uiPriority w:val="99"/>
    <w:rPr>
      <w:rFonts w:cs="Times New Roman"/>
    </w:rPr>
  </w:style>
  <w:style w:type="paragraph" w:customStyle="1" w:styleId="496">
    <w:name w:val="引文目录标题1"/>
    <w:basedOn w:val="1"/>
    <w:next w:val="1"/>
    <w:qFormat/>
    <w:uiPriority w:val="0"/>
    <w:pPr>
      <w:widowControl/>
      <w:adjustRightInd w:val="0"/>
      <w:snapToGrid w:val="0"/>
      <w:spacing w:before="0" w:beforeLines="0"/>
      <w:ind w:firstLine="200"/>
      <w:jc w:val="both"/>
    </w:pPr>
    <w:rPr>
      <w:rFonts w:eastAsia="仿宋_GB2312"/>
      <w:sz w:val="28"/>
    </w:rPr>
  </w:style>
  <w:style w:type="paragraph" w:customStyle="1" w:styleId="497">
    <w:name w:val="正"/>
    <w:basedOn w:val="1"/>
    <w:qFormat/>
    <w:uiPriority w:val="0"/>
    <w:pPr>
      <w:spacing w:before="0"/>
      <w:ind w:firstLine="200"/>
      <w:jc w:val="both"/>
    </w:pPr>
    <w:rPr>
      <w:szCs w:val="20"/>
    </w:rPr>
  </w:style>
  <w:style w:type="paragraph" w:customStyle="1" w:styleId="498">
    <w:name w:val="Char1 Char Char Char Char Char Char2"/>
    <w:basedOn w:val="1"/>
    <w:qFormat/>
    <w:uiPriority w:val="0"/>
    <w:pPr>
      <w:widowControl/>
      <w:spacing w:before="0" w:beforeLines="0" w:after="160" w:line="240" w:lineRule="exact"/>
      <w:ind w:firstLine="0" w:firstLineChars="0"/>
    </w:pPr>
    <w:rPr>
      <w:rFonts w:ascii="Verdana" w:hAnsi="Verdana"/>
      <w:kern w:val="0"/>
      <w:sz w:val="20"/>
      <w:szCs w:val="20"/>
      <w:lang w:eastAsia="en-US"/>
    </w:rPr>
  </w:style>
  <w:style w:type="character" w:customStyle="1" w:styleId="499">
    <w:name w:val="font41"/>
    <w:basedOn w:val="58"/>
    <w:qFormat/>
    <w:uiPriority w:val="0"/>
    <w:rPr>
      <w:rFonts w:hint="default" w:ascii="Times New Roman" w:hAnsi="Times New Roman" w:cs="Times New Roman"/>
      <w:b/>
      <w:color w:val="000000"/>
      <w:kern w:val="0"/>
      <w:sz w:val="21"/>
      <w:szCs w:val="21"/>
      <w:u w:val="none"/>
      <w:lang w:eastAsia="en-US"/>
    </w:rPr>
  </w:style>
  <w:style w:type="character" w:customStyle="1" w:styleId="500">
    <w:name w:val="一级条标题 Char"/>
    <w:link w:val="248"/>
    <w:qFormat/>
    <w:uiPriority w:val="0"/>
    <w:rPr>
      <w:rFonts w:ascii="黑体" w:hAnsi="Times New Roman" w:eastAsia="黑体" w:cs="Times New Roman"/>
      <w:kern w:val="0"/>
      <w:sz w:val="28"/>
      <w:szCs w:val="20"/>
    </w:rPr>
  </w:style>
  <w:style w:type="character" w:customStyle="1" w:styleId="501">
    <w:name w:val="font31"/>
    <w:basedOn w:val="58"/>
    <w:qFormat/>
    <w:uiPriority w:val="0"/>
    <w:rPr>
      <w:rFonts w:hint="eastAsia" w:ascii="宋体" w:hAnsi="宋体" w:eastAsia="宋体" w:cs="宋体"/>
      <w:color w:val="000000"/>
      <w:kern w:val="0"/>
      <w:sz w:val="21"/>
      <w:szCs w:val="21"/>
      <w:u w:val="none"/>
      <w:lang w:eastAsia="en-US"/>
    </w:rPr>
  </w:style>
  <w:style w:type="character" w:customStyle="1" w:styleId="502">
    <w:name w:val="axj 报告书正文 Char"/>
    <w:link w:val="503"/>
    <w:qFormat/>
    <w:uiPriority w:val="0"/>
    <w:rPr>
      <w:sz w:val="24"/>
    </w:rPr>
  </w:style>
  <w:style w:type="paragraph" w:customStyle="1" w:styleId="503">
    <w:name w:val="axj 报告书正文"/>
    <w:basedOn w:val="1"/>
    <w:link w:val="502"/>
    <w:qFormat/>
    <w:uiPriority w:val="0"/>
    <w:pPr>
      <w:spacing w:before="0" w:beforeLines="0"/>
      <w:ind w:firstLine="200"/>
      <w:jc w:val="both"/>
    </w:pPr>
    <w:rPr>
      <w:rFonts w:asciiTheme="minorHAnsi" w:hAnsiTheme="minorHAnsi" w:eastAsiaTheme="minorEastAsia" w:cstheme="minorBidi"/>
      <w:szCs w:val="22"/>
    </w:rPr>
  </w:style>
  <w:style w:type="character" w:customStyle="1" w:styleId="504">
    <w:name w:val="font51"/>
    <w:basedOn w:val="58"/>
    <w:qFormat/>
    <w:uiPriority w:val="0"/>
    <w:rPr>
      <w:rFonts w:hint="eastAsia" w:ascii="宋体" w:hAnsi="宋体" w:eastAsia="宋体" w:cs="宋体"/>
      <w:b/>
      <w:color w:val="000000"/>
      <w:kern w:val="0"/>
      <w:sz w:val="21"/>
      <w:szCs w:val="21"/>
      <w:u w:val="none"/>
      <w:lang w:eastAsia="en-US"/>
    </w:rPr>
  </w:style>
  <w:style w:type="character" w:customStyle="1" w:styleId="505">
    <w:name w:val="font71"/>
    <w:basedOn w:val="58"/>
    <w:qFormat/>
    <w:uiPriority w:val="0"/>
    <w:rPr>
      <w:rFonts w:hint="default" w:ascii="Times New Roman" w:hAnsi="Times New Roman" w:cs="Times New Roman"/>
      <w:b/>
      <w:color w:val="000000"/>
      <w:kern w:val="0"/>
      <w:sz w:val="21"/>
      <w:szCs w:val="21"/>
      <w:u w:val="none"/>
      <w:lang w:eastAsia="en-US"/>
    </w:rPr>
  </w:style>
  <w:style w:type="character" w:customStyle="1" w:styleId="506">
    <w:name w:val="font61"/>
    <w:basedOn w:val="58"/>
    <w:qFormat/>
    <w:uiPriority w:val="0"/>
    <w:rPr>
      <w:rFonts w:hint="eastAsia" w:ascii="宋体" w:hAnsi="宋体" w:eastAsia="宋体" w:cs="宋体"/>
      <w:color w:val="000000"/>
      <w:kern w:val="0"/>
      <w:sz w:val="21"/>
      <w:szCs w:val="21"/>
      <w:u w:val="none"/>
      <w:lang w:eastAsia="en-US"/>
    </w:rPr>
  </w:style>
  <w:style w:type="character" w:customStyle="1" w:styleId="507">
    <w:name w:val="font91"/>
    <w:basedOn w:val="58"/>
    <w:qFormat/>
    <w:uiPriority w:val="0"/>
    <w:rPr>
      <w:rFonts w:hint="default" w:ascii="Times New Roman" w:hAnsi="Times New Roman" w:cs="Times New Roman"/>
      <w:color w:val="000000"/>
      <w:kern w:val="0"/>
      <w:sz w:val="21"/>
      <w:szCs w:val="21"/>
      <w:u w:val="none"/>
      <w:lang w:eastAsia="en-US"/>
    </w:rPr>
  </w:style>
  <w:style w:type="paragraph" w:customStyle="1" w:styleId="508">
    <w:name w:val="正文4"/>
    <w:qFormat/>
    <w:uiPriority w:val="0"/>
    <w:pPr>
      <w:widowControl w:val="0"/>
      <w:adjustRightInd w:val="0"/>
      <w:spacing w:line="312" w:lineRule="atLeast"/>
      <w:jc w:val="both"/>
    </w:pPr>
    <w:rPr>
      <w:rFonts w:hint="eastAsia" w:ascii="黑体" w:hAnsi="Times New Roman" w:eastAsia="黑体" w:cs="Times New Roman"/>
      <w:kern w:val="0"/>
      <w:sz w:val="24"/>
      <w:szCs w:val="20"/>
      <w:lang w:val="en-US" w:eastAsia="zh-CN" w:bidi="ar-SA"/>
    </w:rPr>
  </w:style>
  <w:style w:type="paragraph" w:customStyle="1" w:styleId="509">
    <w:name w:val="p15"/>
    <w:basedOn w:val="1"/>
    <w:qFormat/>
    <w:uiPriority w:val="0"/>
    <w:pPr>
      <w:widowControl/>
      <w:spacing w:before="0" w:beforeLines="0" w:after="120"/>
      <w:ind w:firstLine="420" w:firstLineChars="0"/>
    </w:pPr>
    <w:rPr>
      <w:rFonts w:ascii="Calibri" w:hAnsi="Calibri"/>
      <w:kern w:val="0"/>
      <w:szCs w:val="20"/>
      <w:lang w:eastAsia="en-US" w:bidi="en-US"/>
    </w:rPr>
  </w:style>
  <w:style w:type="paragraph" w:customStyle="1" w:styleId="510">
    <w:name w:val="报告书-正文"/>
    <w:qFormat/>
    <w:uiPriority w:val="0"/>
    <w:pPr>
      <w:spacing w:line="360" w:lineRule="auto"/>
      <w:ind w:firstLine="480" w:firstLineChars="200"/>
    </w:pPr>
    <w:rPr>
      <w:rFonts w:ascii="Times New Roman" w:hAnsi="Times New Roman" w:eastAsia="宋体" w:cs="Times New Roman"/>
      <w:bCs/>
      <w:snapToGrid w:val="0"/>
      <w:kern w:val="0"/>
      <w:sz w:val="24"/>
      <w:szCs w:val="21"/>
      <w:lang w:val="en-US" w:eastAsia="zh-CN" w:bidi="ar-SA"/>
    </w:rPr>
  </w:style>
  <w:style w:type="paragraph" w:customStyle="1" w:styleId="511">
    <w:name w:val="列出段落2"/>
    <w:basedOn w:val="1"/>
    <w:qFormat/>
    <w:uiPriority w:val="34"/>
    <w:pPr>
      <w:spacing w:before="0" w:beforeLines="0" w:line="240" w:lineRule="auto"/>
      <w:ind w:firstLine="420"/>
      <w:jc w:val="both"/>
    </w:pPr>
    <w:rPr>
      <w:sz w:val="21"/>
      <w:szCs w:val="20"/>
    </w:rPr>
  </w:style>
  <w:style w:type="character" w:customStyle="1" w:styleId="512">
    <w:name w:val="正文首行缩进 Char1"/>
    <w:basedOn w:val="68"/>
    <w:qFormat/>
    <w:uiPriority w:val="0"/>
    <w:rPr>
      <w:rFonts w:ascii="仿宋" w:hAnsi="仿宋" w:eastAsia="仿宋" w:cs="仿宋"/>
      <w:kern w:val="2"/>
      <w:sz w:val="24"/>
      <w:szCs w:val="24"/>
    </w:rPr>
  </w:style>
  <w:style w:type="paragraph" w:customStyle="1" w:styleId="513">
    <w:name w:val="标题 三"/>
    <w:basedOn w:val="5"/>
    <w:qFormat/>
    <w:uiPriority w:val="0"/>
    <w:pPr>
      <w:spacing w:before="0" w:beforeLines="0"/>
      <w:ind w:left="709" w:firstLine="0" w:firstLineChars="0"/>
    </w:pPr>
    <w:rPr>
      <w:rFonts w:ascii="黑体" w:hAnsi="Calibri"/>
      <w:bCs w:val="0"/>
      <w:color w:val="000000"/>
      <w:sz w:val="24"/>
      <w:szCs w:val="20"/>
    </w:rPr>
  </w:style>
  <w:style w:type="paragraph" w:customStyle="1" w:styleId="514">
    <w:name w:val="表格文字-报告书"/>
    <w:qFormat/>
    <w:uiPriority w:val="0"/>
    <w:pPr>
      <w:jc w:val="center"/>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9F16FB-6E27-4FB4-B5FF-717164F65575}">
  <ds:schemaRefs/>
</ds:datastoreItem>
</file>

<file path=docProps/app.xml><?xml version="1.0" encoding="utf-8"?>
<Properties xmlns="http://schemas.openxmlformats.org/officeDocument/2006/extended-properties" xmlns:vt="http://schemas.openxmlformats.org/officeDocument/2006/docPropsVTypes">
  <Template>Normal</Template>
  <Pages>152</Pages>
  <Words>93958</Words>
  <Characters>104511</Characters>
  <Lines>870</Lines>
  <Paragraphs>244</Paragraphs>
  <TotalTime>32</TotalTime>
  <ScaleCrop>false</ScaleCrop>
  <LinksUpToDate>false</LinksUpToDate>
  <CharactersWithSpaces>106215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2021-12-18T06:03:00Z</dcterms:created>
  <dc:creator>Administrator</dc:creator>
  <cp:lastModifiedBy>LYB</cp:lastModifiedBy>
  <dcterms:modified xsi:type="dcterms:W3CDTF">2023-07-17T03:05:19Z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48D27F1039EB44CAB25D926DA9637545_13</vt:lpwstr>
  </property>
</Properties>
</file>